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F6F" w:rsidRPr="000F0CD8" w:rsidRDefault="00273D97" w:rsidP="00B3392F">
      <w:pPr>
        <w:spacing w:after="0" w:line="270" w:lineRule="atLeast"/>
        <w:jc w:val="center"/>
        <w:rPr>
          <w:rFonts w:ascii="TH Niramit AS" w:eastAsia="Times New Roman" w:hAnsi="TH Niramit AS" w:cs="TH Niramit AS"/>
          <w:b/>
          <w:bCs/>
          <w:color w:val="000000"/>
          <w:sz w:val="40"/>
          <w:szCs w:val="40"/>
        </w:rPr>
      </w:pPr>
      <w:r w:rsidRPr="000F0CD8">
        <w:rPr>
          <w:rFonts w:ascii="TH Niramit AS" w:eastAsia="Times New Roman" w:hAnsi="TH Niramit AS" w:cs="TH Niramit AS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AAF088" wp14:editId="72DA3FB6">
                <wp:simplePos x="0" y="0"/>
                <wp:positionH relativeFrom="column">
                  <wp:posOffset>4953000</wp:posOffset>
                </wp:positionH>
                <wp:positionV relativeFrom="paragraph">
                  <wp:posOffset>-1047750</wp:posOffset>
                </wp:positionV>
                <wp:extent cx="514350" cy="514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D97" w:rsidRDefault="00273D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AAF0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0pt;margin-top:-82.5pt;width:40.5pt;height:4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" fillcolor="white [3201]" stroked="f" strokeweight=".5pt">
                <v:textbox>
                  <w:txbxContent>
                    <w:p w:rsidR="00273D97" w:rsidRDefault="00273D97"/>
                  </w:txbxContent>
                </v:textbox>
              </v:shape>
            </w:pict>
          </mc:Fallback>
        </mc:AlternateConten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40"/>
          <w:szCs w:val="40"/>
          <w:cs/>
        </w:rPr>
        <w:t xml:space="preserve">บทที่ ๕ </w:t>
      </w:r>
    </w:p>
    <w:p w:rsidR="00B3392F" w:rsidRPr="000F0CD8" w:rsidRDefault="00B3392F" w:rsidP="00B3392F">
      <w:pPr>
        <w:spacing w:after="0" w:line="270" w:lineRule="atLeast"/>
        <w:jc w:val="center"/>
        <w:rPr>
          <w:rFonts w:ascii="TH Niramit AS" w:eastAsia="Times New Roman" w:hAnsi="TH Niramit AS" w:cs="TH Niramit AS"/>
          <w:b/>
          <w:bCs/>
          <w:color w:val="000000"/>
          <w:sz w:val="40"/>
          <w:szCs w:val="40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40"/>
          <w:szCs w:val="40"/>
          <w:cs/>
        </w:rPr>
        <w:t>ปรัชญาจารวาก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40"/>
          <w:szCs w:val="40"/>
        </w:rPr>
        <w:t xml:space="preserve"> </w:t>
      </w:r>
    </w:p>
    <w:p w:rsidR="00B3392F" w:rsidRPr="000F0CD8" w:rsidRDefault="00AC5C56" w:rsidP="00B3392F">
      <w:pPr>
        <w:spacing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๕.๑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ประวัติความเป็นมา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คำว่า จารวาก เป็นคำที่ใช้เรียกปรัชญาวัตถุนิยมในอินเดีย ผู้ให้กำเนิดลัทธิปรัชญานี้ได้แก่พระพฤหัสบดี แต่ต่อมาได้รับการพัฒนาและวางรากฐานโดยศิษย์สำคัญ ๒ ท่าน ได้แก่ ท่านจารวาก และท่านอชิตเกสกัมพล ต่อมาคำว่า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จารวาก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ก็กลายเป็นชื่อที่ใช้เรียกลัทธิปรัชญาดังกล่าว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คัมภีร์ทางพระพุทธศาสนามีกล่าวถึงปรัชญาจากรวากไว้หลายแห่ง ทั้งในระดับบาลีพระไตรปิฎก และคัมภีร์อรรถกถาในชื่อว่า ลัทธิโลกายัต ซึ่งแสดงให้เห็นว่า เป็นปรัชญาเก่าแก่ที่มีพัฒนามาก่อนพระพุทธศาสนา การอุบัติของปรัชญาจารวาก มีผู้รู้ได้แสดงทัศนะไว้ว่า เกิดขึ้นเพราะความไม่พอใจต่อระบบ และวิธีการที่มุ่งหนักไปในทางศาสนาและพิธีกรรมจนเกินไปของพวกพราหมณ์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จนละเลยหรือไม่เอาใจใส่ต่อแก่นแท้ของคำสอนในพระเวท ความไม่พอใจดังกล่าว รวมถึงปรัชญาอุปนิษัท ซึ่งมุ่งเน้นแต่เรื่องนามธรรมที่ลึกซึ้ง (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Idealism)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ยากที่สามัญชนทั่วไปจะเข้าใจได้ แนวความคิดทางปรัชญาของจารวากจึงยืนอยู่ตรงกันข้ามปรัชญาฝ่ายพระเวทโดยสิ้นเชิง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ปรัชญาจารวาก แม้จะเป็นกลุ่มปรัชญาที่ไม่ค่อยมีอิทธิพลมากนักต่อสังคมอินเดียในปัจจุบัน แต่จากการพิจารณาร่องรอยหลักฐานที่ปรากฏในคัมภีร์ทางพระพุทธศาสนาก็ทำให้เราทราบว่า ในสมัยพุทธกาล ลัทธิเหล่านี้ก็ได้แผ่ขยาย และเป็นที่ยอมรับนับถือของประชาชนอย่างกว้างขวางเช่นเดียวกัน อาจารย์ผู้ทำหน้าที่สั่งสอนลัทธิปรัชญานี้จึงได้รับการขนานนามว่า ครูทั้ง ๖ ทั้งยังมีคำพรรณนาถึงในทำนองยกย่องไว้หลายแห่งว่า </w:t>
      </w:r>
      <w:r w:rsidRPr="000F0CD8">
        <w:rPr>
          <w:rFonts w:ascii="TH Niramit AS" w:eastAsia="Calibri" w:hAnsi="TH Niramit AS" w:cs="TH Niramit AS"/>
          <w:b/>
          <w:bCs/>
          <w:color w:val="000000"/>
          <w:sz w:val="34"/>
          <w:szCs w:val="34"/>
        </w:rPr>
        <w:t>“</w:t>
      </w:r>
      <w:r w:rsidRPr="000F0CD8">
        <w:rPr>
          <w:rFonts w:ascii="TH Niramit AS" w:eastAsia="Calibri" w:hAnsi="TH Niramit AS" w:cs="TH Niramit AS"/>
          <w:b/>
          <w:bCs/>
          <w:color w:val="000000"/>
          <w:sz w:val="34"/>
          <w:szCs w:val="34"/>
          <w:cs/>
        </w:rPr>
        <w:t>ผู้เป็นเจ้าหมู่เจ้าคณะ เป็นคณาจารย์ เป็นผู้มีชื่อเสียง มีเกียรติยศ เป็นเจ้าลัทธิ</w:t>
      </w:r>
      <w:r w:rsidRPr="000F0CD8">
        <w:rPr>
          <w:rFonts w:ascii="TH Niramit AS" w:eastAsia="Calibri" w:hAnsi="TH Niramit AS" w:cs="TH Niramit AS"/>
          <w:b/>
          <w:bCs/>
          <w:color w:val="000000"/>
          <w:sz w:val="34"/>
          <w:szCs w:val="34"/>
        </w:rPr>
        <w:t xml:space="preserve"> </w:t>
      </w:r>
      <w:r w:rsidRPr="000F0CD8">
        <w:rPr>
          <w:rFonts w:ascii="TH Niramit AS" w:eastAsia="Calibri" w:hAnsi="TH Niramit AS" w:cs="TH Niramit AS"/>
          <w:b/>
          <w:bCs/>
          <w:color w:val="000000"/>
          <w:sz w:val="34"/>
          <w:szCs w:val="34"/>
          <w:cs/>
        </w:rPr>
        <w:t>คนจำนวนมากยกย่องกันว่าเป็นคนดี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footnoteReference w:id="3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หนึ่งในจำนวนนั้นคือ นิครนถ์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นาฎบุตร ถือว่ามีความโดดเด่น ทั้งยังเคยโต้วาทะกับพระพุทธเจ้า และเหล่าพระสาวกหลายครั้ง ซึ่งจะได้กล่าวถึงโดยละเอียดอีกครั้งในตอนที่ว่าด้วยปรัชญาเชน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ร่องรอยของคำสอนของจารวาก ไม่มีหลักฐานทางคัมภีร์ใด ๆ ที่เป็นคำสอนหลงเหลือมาถึงปัจจุบัน จึงเป็นการยากที่จะศึกษาแนวความคิดทางปรัชญาของสำนักนี้ เราจึงได้แค่อาศัยหลักฐานจากแหล่งอื่นที่มีลักษณะเป็นการกล่าว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พาดพิง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แม้จะไม่ได้ข้อมูลมากนัก แต่อย่างน้อยที่สุด ก็ทำให้เราทราบแนวคิดเบื้องต้น เช่น หลักฐานเกี่ยวกับคัมภีร์ แม้จะบอกว่า ไม่มีคัมภีร์ของสำนักนี้หลงเหลือมาจนกระทั่งถึงปัจจุบัน แต่ในพระบาลี และอรรถกถาก็มีระบุถึงคัมภีร์ของจากวาก เช่นในทีฆนิกาย สีลขันธวรรค ได้กล่าวถึงคัมภีร์โลกายตศาสตร์ ซึ่งคัมภีร์นี้ อรรถกถาจารย์ได้อธิบายว่า หมายถึง คัมภีร์ที่อธิบายศิลปะแห่งการเอาชนะผู้อื่นในเชิงวาทศิลป์ โดยการอ้างทฤษฎีและประเพณีทางสังคมมาหักล้างสัจธรรม มุ่งแสดงให้เห็นว่า ตนฉลาดกว่า มิได้มุ่งสัจธรรมแต่อย่างใด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4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แม้ในส่วนของประวัติของเจ้าลัทธิ และหลักคำสอนสำคัญของลัทธิ ก็มีร่องรอยให้เห็นในคัมภีร์ทางพระพุทธศาสนาหลายแห่ง ซึ่งแต่ละแห่ง มีใจความสำคัญคล้าย ๆ กัน ดังจะได้นำมากล่าวเป็นลำดับ ๆ ไป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ind w:left="1500" w:hanging="360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0F0CD8">
        <w:rPr>
          <w:rFonts w:ascii="TH Niramit AS" w:eastAsia="Tahoma" w:hAnsi="TH Niramit AS" w:cs="TH Niramit AS"/>
          <w:b/>
          <w:bCs/>
          <w:color w:val="000000"/>
          <w:sz w:val="36"/>
          <w:szCs w:val="36"/>
          <w:cs/>
        </w:rPr>
        <w:t>๑.</w:t>
      </w:r>
      <w:r w:rsidRPr="000F0CD8">
        <w:rPr>
          <w:rFonts w:ascii="TH Niramit AS" w:eastAsia="Tahoma" w:hAnsi="TH Niramit AS" w:cs="TH Niramit AS"/>
          <w:color w:val="000000"/>
          <w:sz w:val="36"/>
          <w:szCs w:val="36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ปูรณกัสสปะ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ประวัติของปูรณกัสสปะ มีพรรณนาไว้หลายแห่ง เช่น คัมภีร์สุมังคลวิสาลินี อรรถกถาทีฆนิกาย สีลขันธวรรค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มังคลัตถทีปนี เป็นต้น ลักษณะข้อความใกล้เคียงกัน สรุปความได้ว่า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เจ้าลัทธินามว่าปูรณกัสสปะนั้น เป็นทาสในตระกูลหนึ่ง ความที่ตนเกิดมาเป็นทาสคนที่ ๙๙ พอดี นายเห็นว่าตัวเลขเป็นมงคล จึงตั้งชื่อว่า ปูรณะ พร้อมกับยกสิทธิพิเศษให้ทำอะไรได้ตามชอบใจไม่ว่าจะดี หรือชั่ว ส่วนคำว่า กัสสปะ นั้นเป็นชื่อโคตร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วันหนึ่งเกิดความคิดว่า จะอยู่ที่นี่ทำไม จึงได้หนีออกจากบ้าน ระหว่างนั้นถูกโจรชิงเอาผ้าไป เขาไม่รู้จะหาใบไม้หรือหญ้ามาปกปิดร่างกาย จึงเปลือยกายเข้าไปที่หมู่บ้านแห่งหนึ่ง พวกมนุษย์ในหมู่บ้านเห็นก็เข้าใจผิดว่า ผู้นี้เป็นสมณะผู้สันโดษมักน้อย คงจะเป็นพระอรหันต์เป็นแน่ จึงได้นำอาหารคาวหวานมาถวาย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เจ้าลัทธิปูรณะคิดว่า เพราะเหตุที่ตนไม่ได้นุ่งผ้านี้เอง ลาภสักการะจึงเกิดขึ้น ตั้งแต่นั้นมาจึงไม่นุ่งผ้า ถือเพศแห่งการเปลือยกายนั่นแหละเป็นบรรพชา ต่อมามีคน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ศรัทธาเลื่อมใส และมอบตนเป็นศิษย์บวชติดตามอีก ๕๐๐ คน ประกาศตนเป็นเจ้าลัทธิเผยแพร่หลักปรัชญา ทั้งยังประกาศตนว่าเป็นผู้ตรัสรู้อนุตตรสัมมาสัมโพธิญาณ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5"/>
      </w:r>
    </w:p>
    <w:p w:rsidR="00B3392F" w:rsidRPr="000F0CD8" w:rsidRDefault="00B3392F" w:rsidP="00B3392F">
      <w:pPr>
        <w:widowControl w:val="0"/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หลักปรัชญาคำสอนของปูรณกัสสปะที่ปรากฏในบาลีพระไตรปิฎก เรียกว่า อกิริยวาทะ หมายถึง ลัทธิปรัชญาที่ถือว่า กรรมที่ทำแล้วไม่เป็นอันทำ ดังข้อความในทีฆนิกาย สีลขันธวรรคที่สรุปแนวคิดของปูรณกัสสปะดังนี้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>เมื่อบุคคลกระทำเอง ใช้ให้ผู้อื่นกระทำ ตัดเอง ใช้ให้ผู้อื่นตัด เบียดเบียนเอง ใช้ให้ผู้อื่นเบียดเบียน ทำให้เศร้าโศกเอง ใช้ให้ผู้อื่นทำให้เศร้าโศก ทำให้ลำบากเอง ใช้ให้ผู้อื่นทำให้ลำบาก ดิ้นรนเอง ใช้ให้ผู้อื่นทำให้ดิ้นรน ฆ่าสัตว์ ถือเอาสิ่งของที่เจ้าของเขาไม่ได้ให้ ตัดช่องย่องเบา ปล้น ทำโจรกรรมในบ้านหลังเดียว ดักซุ่มที่ทางเปลี่ยว เป็นชู้ พูดเท็จ ผู้ทำเช่นนั้น ก็ไม่จัดว่าทำบาป แม้หากบุคคลใช้จักรมีคมดุจมีดโกนสังหารเหล่าสัตว์ในปฐพีให้เป็นดุจลานตากเนื้อ ให้เป็นกองเนื้อเดียวกัน เขาย่อมไม่มีบาปที่เกิดจากกรรมนั้น ไม่มีบาปมาถึงเขา แม้หากบุคคลไปฝั่งขวาแม่น้ำคงคา ฆ่าเอง ใช้ให้ผู้อื่นฆ่า ตัดเอง ใช้ให้ผู้อื่นตัด เบียดเบียนเอง ใช้ให้ผู้อื่นเบียดเบียน เขาย่อมไม่มีบาปที่เกิดจากกรรมนั้น ไม่มีบาปมาถึงเขา แม้หากบุคคลไปยังฝั่งซ้ายแม่น้ำคงคา ให้เอง ใช้ให้ผู้อื่นให้ บูชาเอง ใช้ให้ผู้อื่นบูชา เขาย่อมไม่มีบุญที่เกิดจากกรรมนั้น ไม่มีบุญมาถึงเขา ไม่มีบุญที่เกิดจากการให้ทาน จากการฝึกอินทรีย์ จากการสำรวม จากการพูดคำสัตย์ ไม่มีบุญมาถึงเขา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footnoteReference w:id="6"/>
      </w:r>
    </w:p>
    <w:p w:rsidR="00B3392F" w:rsidRPr="000F0CD8" w:rsidRDefault="00B3392F" w:rsidP="00B3392F">
      <w:pPr>
        <w:widowControl w:val="0"/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คำสอนอื่นนอกเหนือจากนี้ ไม่ปรากฏหลักฐานใด ๆ </w:t>
      </w:r>
    </w:p>
    <w:p w:rsidR="00B3392F" w:rsidRPr="000F0CD8" w:rsidRDefault="00B3392F" w:rsidP="00B3392F">
      <w:pPr>
        <w:tabs>
          <w:tab w:val="left" w:pos="1134"/>
        </w:tabs>
        <w:spacing w:before="240" w:after="0" w:line="270" w:lineRule="atLeast"/>
        <w:ind w:left="1500" w:hanging="360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0F0CD8">
        <w:rPr>
          <w:rFonts w:ascii="TH Niramit AS" w:eastAsia="Tahoma" w:hAnsi="TH Niramit AS" w:cs="TH Niramit AS"/>
          <w:b/>
          <w:bCs/>
          <w:color w:val="000000"/>
          <w:sz w:val="36"/>
          <w:szCs w:val="36"/>
          <w:cs/>
        </w:rPr>
        <w:t>๒.</w:t>
      </w:r>
      <w:r w:rsidRPr="000F0CD8">
        <w:rPr>
          <w:rFonts w:ascii="TH Niramit AS" w:eastAsia="Tahoma" w:hAnsi="TH Niramit AS" w:cs="TH Niramit AS"/>
          <w:color w:val="000000"/>
          <w:sz w:val="36"/>
          <w:szCs w:val="36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มักขลิโคศาล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ประวัติมักขลิโคศาลคล้าย ๆ กับปูรณกัสสปะ คือเดิมเป็นทาส ถือกำเนิดที่โรงโค จึงได้ชื่อว่า โคศาล ส่วนคำว่า มักขลิ ได้มาเพราะเหตุว่า วันหนึ่ง เขาถูกเจ้านายใช้ให้ถือน้ำมัน พร้อมกับกำชับว่า อย่าให้ลื่นล้มเป็นอันขาด แต่เพราะความที่ทางเดินนั้นเป็นเปลือกตม ทำให้เขาลื่นล้ม หม้อน้ำมันแตกเสียหาย ความกลัวเจ้านายลงโทษ จึงได้เริ่มวิ่งหนี เมื่อเจ้านายวิ่งไล่ตาม และจับผ้าไว้ได้ เขาจึงสลัดผ้าออก วิ่งเปลือยกายหนีไปได้ในที่สุด 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ประวัติส่วนที่เหลือต่อจากนี้ มีทำนองเดียวกับเจ้าลัทธิชื่อปูรณกัสสปะ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มักขลิโคศาล ถือเป็นหัวหน้าของพวกอาชีวก ซึ่งเป็นลัทธิที่ยังคงมีอยู่ต่อมา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lastRenderedPageBreak/>
        <w:t>ประมาณถึง ๒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>,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๐๐๐ ปี หลังจากที่หัวหน้าได้ถึงแก่กรรมไปแล้ว</w:t>
      </w:r>
      <w:r w:rsidRPr="000F0CD8">
        <w:rPr>
          <w:rStyle w:val="FootnoteReference"/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footnoteReference w:id="7"/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  ลัทธินี้มีความเห็นในเรื่องของการเวียนว่ายตายเกิดคล้าย ๆ กับท่านปูรณกัสสปะคือ เชื่อว่า กุศลกรรม อกุศลกรรมไม่มีผลต่อการเวียนว่ายตายเกิด เพราะการเวียนว่ายตายเกิดนี้เป็นไปตามแบบแผนตายตัว ถูกกำหนดไว้แล้วโดยระเบียบของจักรวาลที่เรียกว่า 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นิยัติ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 xml:space="preserve">” 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หรือ 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พรหมลิขิต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>”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 ทุกอย่างจึงเป็นไปตามวงจรดังกล่าว และเมื่อเวียนว่ายจนครบตามวงจรดังกล่าว ก็เข้าถึงความหลุดพ้น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>ไม่มีการกระทำใด ๆ ที่ตัวเราทำเองก็ดี ที่ผู้อื่นทำก็ดี ที่จะสามารถมีผลกระทบกระเทือนถึงการเกิดในชาติหน้าของเรา ไม่มีการกระทำของมนุษย์ใด ๆ ไม่มีความเข้มแข็ง ไม่มีความกระตือรือร้น ไม่มีความอดทน หรือความกล้าหาญของมนุษย์ใด ๆ ซึ่งจะมีผลกระทบกระเทือนต่อโชคชะตาของเราในชีวิตนี้เลย ภาวะทั้งปวงที่มีลมปราณทั้งหมด ที่เกิดมาทั้งหมด ที่มีชีวิตทั้งหมดนั้น ไม่มีอำนาจความเข้มแข็ง และคุณธรรม แต่ทว่าได้พัฒนาขึ้นมาโดยอาศัยโชคชะตา ความบังเอิญ และธรรมชาติ...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footnoteReference w:id="8"/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คัมภีร์ทางพระพุทธศาสนาเรียกหลักปรัชญาของท่านมักขลิโคศาลว่า นัตถิกวาทะ หมายถึง ลัทธิที่เชื่อว่า ไม่มีเหตุ ไม่มีปัจจัย ดังข้อความที่ปรากฏในทีฆนิกาย สีลขันธวรรคว่า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thaiDistribute"/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</w:pP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>“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ความเศร้าหมองแห่งสัตว์ทั้งหลายไม่มีเหตุ ไม่มีปัจจัย สัตว์ทั้งหลายเศร้าหมอง ความบริสุทธิ์แห่งสัตว์ทั้งหลาย ไม่มีเหตุ ไม่มีปัจจัย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 xml:space="preserve"> 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สัตว์ทั้งหลายบริสุทธิ์เอง ไม่ใช่เพราะการกระทำของตนเอง และไม่ใช่เพราะการกระทำของผู้อื่น ไม่ใช่เพราะการกระทำของมนุษย์ ไม่มีกำลัง ไม่มีความเพียร ไม่มีความสามารถของมนุษย์ ไม่มีความพยายามของมนุษย์ สัตว์ ปานะ ภูตะ ชีวะทั้งปวงล้วนไม่มีอำนาจ ไม่มีกำลัง ไม่มีความเพียร ผันแปรไปตามโชคชะตา ตามสถานภาพทางสังคม และตามลักษณะเฉพาะของตน ย่อมเสวยสุขและทุกข์ในอภิชาติทั้ง ๖ อนึ่ง กำเนิดที่เป็นประธาน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 xml:space="preserve"> 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๑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๔๐๖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๖๐๐ กรรม ๕๐๐ กรรม ๕ กรรม ๓ กรรม ๑ กรรมกึ่ง ปฏิปทา ๖๒ อันตรกัป ๖๒ อภิชาติ ๖ ปุริสภูมิ ๘ อาชีวก ๔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๙๐๐ ปริพาชก ๔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๙๐๐ นาควาส ๔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๙๐๐ อินทรีย์ ๒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๐๐๐ นรก ๓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 xml:space="preserve">๐๐๐ รโชธาตุ ๓๖ สัญญีครรภ์ ๗ อสัญญีครรภ์ ๗ นิคัณฐีครรภ์ ๗ เทวดา ๗ มนุษย์ ๗ ปีศาจ ๗ สระ ๗ 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lastRenderedPageBreak/>
        <w:t>ตาไม้ไผ่๗ ตาไม้ไผ่ ๗๐๐ เหวใหญ่ ๗ เหวน้อย ๗๐๐ มหาสุบิน ๗ สุบิน ๗๐๐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 xml:space="preserve"> 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จุลมหากัป ๘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๐๐๐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,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๐๐๐ เหล่านี้ ที่พาลและบัณฑิตพากันเที่ยวเวียนว่ายไปแล้ว จักทำที่สุดทุกข์ได้เอง ความสมหวังว่าเราจักอบรมกรรมที่ยังไม่อำนวยผล ให้อำนวยผล หรือเราสัมผัสถูกต้องกรรมที่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 xml:space="preserve"> 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อำนวยผลแล้ว จักทำให้สุดสิ้นด้วยศีล ด้วยพรต ด้วยตบะ หรือด้วยพรหมจรรย์นี้ ไม่มีในที่นั้น สุขทุกข์ที่ทำให้มีที่สิ้นสุดได้ เหมือนตวงของให้หมดด้วยทะนาน ย่อมไม่มีในสงสารด้วยอาการอย่างนี้เลย ไม่มีความเสื่อมความเจริญ ไม่มีการเลื่อนขึ้นเลื่อนลง พาลและบัณฑิต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 xml:space="preserve"> 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  <w:cs/>
        </w:rPr>
        <w:t>เร่ร่อน ท่องเที่ยวไป จักทำที่สุดทุกข์ได้เอง เหมือนกลุ่มด้ายที่บุคคลขว้างไป ย่อมคลี่หมดไปได้เองฉะนั้น</w:t>
      </w:r>
      <w:r w:rsidRPr="000F0CD8">
        <w:rPr>
          <w:rFonts w:ascii="TH Niramit AS" w:eastAsia="Calibri" w:hAnsi="TH Niramit AS" w:cs="TH Niramit AS"/>
          <w:i/>
          <w:iCs/>
          <w:color w:val="000000"/>
          <w:sz w:val="34"/>
          <w:szCs w:val="34"/>
        </w:rPr>
        <w:t>”</w:t>
      </w:r>
      <w:r w:rsidRPr="000F0CD8">
        <w:rPr>
          <w:rStyle w:val="FootnoteReference"/>
          <w:rFonts w:ascii="TH Niramit AS" w:eastAsia="Calibri" w:hAnsi="TH Niramit AS" w:cs="TH Niramit AS"/>
          <w:i/>
          <w:iCs/>
          <w:color w:val="000000"/>
          <w:sz w:val="34"/>
          <w:szCs w:val="34"/>
        </w:rPr>
        <w:footnoteReference w:id="9"/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thaiDistribute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หลักปรัชญาคำสอนของเจ้าลัทธิชื่อมักขลิโคศาลเท่าที่ปรากฏหลักฐานอ้างอิงได้มีเพียงเท่านี้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ind w:left="1500" w:hanging="360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0F0CD8">
        <w:rPr>
          <w:rFonts w:ascii="TH Niramit AS" w:eastAsia="Tahoma" w:hAnsi="TH Niramit AS" w:cs="TH Niramit AS"/>
          <w:b/>
          <w:bCs/>
          <w:color w:val="000000"/>
          <w:sz w:val="36"/>
          <w:szCs w:val="36"/>
          <w:cs/>
        </w:rPr>
        <w:t>๓.</w:t>
      </w:r>
      <w:r w:rsidRPr="000F0CD8">
        <w:rPr>
          <w:rFonts w:ascii="TH Niramit AS" w:eastAsia="Tahoma" w:hAnsi="TH Niramit AS" w:cs="TH Niramit AS"/>
          <w:color w:val="000000"/>
          <w:sz w:val="36"/>
          <w:szCs w:val="36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อชิตเกสกัมพล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ประวัติอชิตเกสกัมพล ในคัมภีร์ทางพระพุทธศาสนา มีกล่าวถึงสั้น ๆ ว่า ชื่อเดิมคือ อชิตะ ส่วนคำว่า เกสกัมพล ได้มาจากการที่เขาครองผ้ากัมพลที่ทอด้วยผมคน ซึ่งถือเป็นผ้าที่หยาบกว่าผ้ากัมพลที่ทอด้วยสิ่งอื่น ที่เป็นเช่นนี้เพราะ ผ้าที่ทอด้วยผมคนนั้น หน้าหนาวก็จะเย็นยะเยือก หน้าร้อนก็จะร้อนระอุ มีราคาน้อย มีสัมผัสระคาย สีไม่สวย ทั้งมีกลิ่นเหม็น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ในสังยุตตนิกาย สฬายตนวรรค ได้พรรณนาถึงคุณสมบัติพิเศษของอชิตเกสกัมพลคล้าย ๆ กับเจ้าลัทธิครูทั้ง ๖ ว่า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แม้ครูอชิตะ เกสกัมพลนั้น ก็พยากรณ์สาวกผู้ล่วงลับดับไปในอุบัติภพทั้งหลายว่า ท่านผู้โน้นเกิดในภพโน้น ท่านโน้นเกิดในภพโน้น แม้สาวกใดของครูอชิตะ เกสกัมพลนั้นเป็นอุดมบุรุษ เป็นบรมบุรุษ ได้บรรลุผลที่ควรบรรลุอย่างยิ่ง ท่านก็พยากรณ์แม้สาวกนั้นผู้ล่วงลับดับไปแล้วในอุบัติภพทั้งหลายว่า ท่านโน้นเกิดในภพโน้น ท่านโน้นเกิดในภพนั้น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10"/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สำหรับแนวความคิดทางปรัชญาของอชิตเกสกัมพล เรียกว่า อุจเฉทวาทะ หมายถึง ลัทธิที่ถือว่าหลังจากตายแล้วอัตตาขาดสูญ ข้อความในทีฆนิกาย สีลขันธวรรค ได้พรรณนาหลักปรัชญาแนวคิดของอชิตเกสกัมพลไว้ดังนี้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ทานที่ให้แล้วไม่มีผล ยัญที่บูชาแล้วไม่มีผล การเซ่นสรวงก็ไม่มีผล ผลวิบากแห่งกรรมที่ทำดีทำชั่วก็ไม่มี โลกนี้ไม่มี โลกหน้าไม่มี บิดาไม่มีคุณ มารดาไม่มีคุณ สัตว์ที่ผุดเกิดขึ้นไม่มี สมณพราหมณ์ผู้ประพฤติปฏิบัติชอบทำให้แจ้งโลกนี้และโลกหน้าด้วยปัญญาอันยิ่งเองแล้วสอนผู้อื่นให้รู้แจ้งก็ไม่มีในโลก มนุษย์คือประชุมแห่งมหาภูตรูป ๔ เมื่อสิ้นชีวิต ธาตุดินไปตามธาตุดิน ธาตุน้ำไปตามธาตุน้ำ ธาตุไฟไปตามธาตุไฟ ธาตุลมไปตามธาตุลม อินทรีย์ทั้งหลายย่อมผันแปรไปเป็นอากาศธาตุ มนุษย์มีเตียงนอนเป็นที่ ๕ นำศพไป ร่างกายปรากฏอยู่แค่ป่าช้า กลายเป็นกระดูกขาวโพลนดุจสีนกพิราบ การเซ่นสรวงสิ้นลงแค่เถ้าถ่าน คนเขลาบัญญัติทานนี้ไว้ คำที่คนบางพวกย้ำว่ามีผลนั้นว่างเปล่า เท็จ ไร้สาระ เมื้อสิ้นชีวิต ไม่ว่าคนเขลาหรือคนฉลาดย่อมขาดสูญไม่เกิดอีก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11"/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thaiDistribute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หลักปรัชญาคำสอนของเจ้าลัทธิชื่ออชิตเกสกัมพลเท่าที่ปรากฏหลักฐานอ้างอิงได้มีเพียงเท่านี้ </w:t>
      </w:r>
    </w:p>
    <w:p w:rsidR="00B3392F" w:rsidRPr="000F0CD8" w:rsidRDefault="00B3392F" w:rsidP="00B3392F">
      <w:pPr>
        <w:tabs>
          <w:tab w:val="left" w:pos="1134"/>
        </w:tabs>
        <w:spacing w:before="240" w:after="0" w:line="270" w:lineRule="atLeast"/>
        <w:ind w:left="1500" w:hanging="360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0F0CD8">
        <w:rPr>
          <w:rFonts w:ascii="TH Niramit AS" w:eastAsia="Tahoma" w:hAnsi="TH Niramit AS" w:cs="TH Niramit AS"/>
          <w:b/>
          <w:bCs/>
          <w:color w:val="000000"/>
          <w:sz w:val="36"/>
          <w:szCs w:val="36"/>
          <w:cs/>
        </w:rPr>
        <w:t>๔.</w:t>
      </w:r>
      <w:r w:rsidRPr="000F0CD8">
        <w:rPr>
          <w:rFonts w:ascii="TH Niramit AS" w:eastAsia="Tahoma" w:hAnsi="TH Niramit AS" w:cs="TH Niramit AS"/>
          <w:color w:val="000000"/>
          <w:sz w:val="36"/>
          <w:szCs w:val="36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ปกุทธกัจจายนะ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ab/>
        <w:t>เจ้าลัทธิชื่อว่าปกุทธกัจจายนะ เดิมชื่อ ปกุทธะ ส่วน กัจจายนะ เป็นชื่อโคตร ตามประวัติเล่าว่า ปกุทธกัจจายนะ ไม่ใช้น้ำเย็น เพราะฉะนั้น เวลารับประทานอาหารก็ ถ่ายอุจจาระก็ดี ของอะไรไม่สะอาดเปื้อนก็ดี หากไม่ได้น้ำร้อน หรือน้ำข้าว ก็จะไม่ทำความสะอาด มีวัตรปฏิบัติที่แปลก ๆ เช่น เวลาข้ามแม่น้ำหรือน้ำที่อยู่ตามทาง ก็เข้าใจว่าศีลพรตของตนเองขาด จึงได้เอาทรายมากอง ทำเป็นจอม แล้วก็อธิษฐานศีล เสร็จแล้วจึงหลีกไป</w:t>
      </w:r>
      <w:r w:rsidRPr="000F0CD8">
        <w:rPr>
          <w:rStyle w:val="FootnoteReference"/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footnoteReference w:id="12"/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ab/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ท่านปกุทธกัจจายนะ เป็นศาสดาสำนักปรมาณู เป็นบรรพบุรุษของลัทธิฮินดูนิกายไวเศษิกะ ได้ตั้งทฤษฎีขึ้นซึ่งดูเหมือนจะก่อนเดมอคลิตุสในประเทศกรีซจะพัฒนาลัทธิเกี่ยวกับปรมาณูนิรันดรที่คล้ายคลึงกันตั้ง ๑๐๐ ปี หรือมากกว่านั้น</w:t>
      </w:r>
      <w:r w:rsidRPr="000F0CD8">
        <w:rPr>
          <w:rStyle w:val="FootnoteReference"/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footnoteReference w:id="13"/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 นั่นหมายความว่า แนวความคิดเรื่องปรมาณูนั้นเกิดขึ้นในปรัชญาอินเดียก่อนหน้าชาวตะวันตกนับร้อยปี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ab/>
        <w:t>ในส่วนของคัมภีร์ทางพระพุทธศาสนา เรียกปรัชญาแนวคิดของปกุทธกัจจายนะว่า นัตถิกวาทะ หมายถึง ลัทธิปรัชญาที่เชื่อว่า ไม่มีเหตุไม่มีปัจจัย ทำนองเดียวกับ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lastRenderedPageBreak/>
        <w:t>มักขลิโคศาล แต่มีข้อปลีกย่อยต่างกันดังนี้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ab/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>สภาวะ ๗ กองนี้ ไม่มีผู้สร้าง ไม่มีผู้บันดาล ไม่มีผู้เนรมิต ไม่มีผู้ให้เนรมิต ยั่งยืน มั่นคงดุจยอดภูเขา ดุจเสาระเนียด ไม่หวั่นไหว ไม่ผันแปร ไม่กระทบกระทั่งกัน ไม่ก่อให้เกิดสุขหรือทุกข์ หรือทั้งสุขและทุกข์แก่กันและกัน สภาวะ ๗ กองนั้นคืออะไรบ้าง คือ กองแห่งธาตุดิน กองแห่งธาตุน้ำ กองแห่งธาตุไฟ กองแห่งธาตุลม กองสุข กองทุกข์ กองชีวะ สภาวะ ๗ ก่องเหล่านี้ ไม่มีผู้สร้าง ไม่มีผู้บันดาล ไม่มีผู้เนรมิต ไม่มีผู้ให้เนรมิต ยั่งยืน มั่นคงดุจยอดภูเขา ดุจเสาระเนียด ไม่หวั่นไหว ไม่ผันแปร ไม่กระทบกระทั่งกัน ไม่ก่อให้เกิดสุขหรือทุกข์ หรือทั้งสุขและทุกข์แก่กันและกัน ในสภาวะ ๗ กองนั้น ไม่มีผู้ฆ่า ไม่มีผู้ใช้ให้คนอื่นฆ่า ไม่มีผู้ฟัง ไม่มีผู้ใช้ให้คนอื่นฟัง ไม่มีผู้รู้ ไม่มีผู้ทำให้คนอื่นรู้ ใครก็ตามแม้จะเอาศัสตราคมตัดศีรษะใคร ก็ไม่ชื่อว่าปลงชีวิตใครได้ เพราะเป็นเพียงศัสตราแทรกผ่านไประหว่างสภาวะ ๗ กองเท่านั้น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footnoteReference w:id="14"/>
      </w:r>
      <w:r w:rsidRPr="000F0CD8">
        <w:rPr>
          <w:rFonts w:ascii="TH Niramit AS" w:eastAsia="Times New Roman" w:hAnsi="TH Niramit AS" w:cs="TH Niramit AS"/>
          <w:b/>
          <w:i/>
          <w:iCs/>
          <w:snapToGrid w:val="0"/>
          <w:color w:val="000000"/>
          <w:sz w:val="34"/>
          <w:szCs w:val="34"/>
          <w:cs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thaiDistribute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หลักปรัชญาคำสอนของเจ้าลัทธิชื่อปกุทธกัจจายนะเท่าที่ปรากฏหลักฐานอ้างอิงได้มีเพียงเท่านี้ </w:t>
      </w:r>
    </w:p>
    <w:p w:rsidR="00B3392F" w:rsidRPr="000F0CD8" w:rsidRDefault="00B3392F" w:rsidP="00B3392F">
      <w:pPr>
        <w:tabs>
          <w:tab w:val="left" w:pos="1134"/>
        </w:tabs>
        <w:spacing w:before="240" w:after="0" w:line="270" w:lineRule="atLeast"/>
        <w:ind w:left="1500" w:hanging="360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0F0CD8">
        <w:rPr>
          <w:rFonts w:ascii="TH Niramit AS" w:eastAsia="Tahoma" w:hAnsi="TH Niramit AS" w:cs="TH Niramit AS"/>
          <w:b/>
          <w:bCs/>
          <w:color w:val="000000"/>
          <w:sz w:val="36"/>
          <w:szCs w:val="36"/>
          <w:cs/>
        </w:rPr>
        <w:t>๕.</w:t>
      </w:r>
      <w:r w:rsidRPr="000F0CD8">
        <w:rPr>
          <w:rFonts w:ascii="TH Niramit AS" w:eastAsia="Tahoma" w:hAnsi="TH Niramit AS" w:cs="TH Niramit AS"/>
          <w:color w:val="000000"/>
          <w:sz w:val="36"/>
          <w:szCs w:val="36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สัญชัยเวลัฏฐบุตร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ab/>
        <w:t xml:space="preserve">สัญชัยเวลัฏฐบุตร เดิมชื่อ สัญชัย ได้นามสร้อยว่า เวลัฏฐบุตร เพราะเป็นบุตรของช่างสาน ถือเป็นลัทธิปรัชญาที่มีลูกศิษย์มากคนหนึ่ง และในจำนวนนั้นก็คืออุปติสสะ และโกลิตะ ซึ่งต่อมา ทั้งสองนี้ก็ได้อำลาอาจารย์ออกจากสำนัก ร่อนเร่ไปกระทั่งได้ไปพบพระอัสสชิ และต่อมาก็ได้ออกบวชในพระธรรมวินัย กลายเป็นอัครสาวกเบื้องซ้าย-ขวาของพระพุทธเจ้า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ab/>
        <w:t>แนวความคิดทางปรัชญาของสัญชัยเวลัฏฐบุตรเรียกว่า อมราวิกเขปวาท หมายถึง ลัทธิปรัชญาที่ถือวาทะหลบเลี่ยง ไม่แน่นอน เป็นหลักปรัชญาที่ไม่ยอมยืนยัน และปฏิเสธสิ่งใด ไม่ว่าจะเป็นโลกหน้า ผลวิบากกรรม การเวียนว่ายตายเกิด</w:t>
      </w:r>
      <w:r w:rsidRPr="000F0CD8">
        <w:rPr>
          <w:rStyle w:val="FootnoteReference"/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footnoteReference w:id="15"/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 ขอให้สังเกตข้อความต่อไปนี้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jc w:val="both"/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</w:pP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ab/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 xml:space="preserve">ถ้าหากท่านถามข้าพเจ้าว่า 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“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>โลกอื่นมีไหม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 xml:space="preserve">?” 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>และข้าพเจ้าเชื่อว่ามี ข้าพเจ้าก็จะบอกท่านว่ามี แต่นั่นไม่ใช่คำที่ข้าพเจ้าพูด ข้าพเจ้ามิได้พูดว่ามันเป็นเช่นนั้น ข้าพเจ้ามิได้พู่ว่าเป็นอย่างอื่น ข้าพเจ้ามิได้พูดว่ามันเป็นอย่างนั้น ทั้งข้าพเจ้าก็มิได้พูดว่ามันไม่เป็น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lastRenderedPageBreak/>
        <w:t>เช่นนั้นก็หามิได้</w:t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lang w:eastAsia="th-TH"/>
        </w:rPr>
        <w:footnoteReference w:id="16"/>
      </w:r>
      <w:r w:rsidRPr="000F0CD8">
        <w:rPr>
          <w:rFonts w:ascii="TH Niramit AS" w:eastAsia="Times New Roman" w:hAnsi="TH Niramit AS" w:cs="TH Niramit AS"/>
          <w:i/>
          <w:iCs/>
          <w:snapToGrid w:val="0"/>
          <w:color w:val="000000"/>
          <w:sz w:val="34"/>
          <w:szCs w:val="34"/>
          <w:cs/>
          <w:lang w:eastAsia="th-TH"/>
        </w:rPr>
        <w:t xml:space="preserve"> </w:t>
      </w:r>
    </w:p>
    <w:p w:rsidR="00B3392F" w:rsidRPr="000F0CD8" w:rsidRDefault="00B3392F" w:rsidP="00B3392F">
      <w:pPr>
        <w:widowControl w:val="0"/>
        <w:tabs>
          <w:tab w:val="left" w:pos="1134"/>
        </w:tabs>
        <w:spacing w:after="0" w:line="270" w:lineRule="atLeast"/>
        <w:ind w:firstLine="1134"/>
        <w:jc w:val="thaiDistribute"/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</w:pP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>หลักปรัชญาคำสอนของเจ้าลัทธิชื่อสัญชัยเวลัฏฐบุตรเท่าที่ปรากฏหลักฐานอ้างอิงได้มีเพียงเท่านี้</w:t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lang w:eastAsia="th-TH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before="240" w:after="0" w:line="270" w:lineRule="atLeast"/>
        <w:ind w:left="1500" w:hanging="360"/>
        <w:jc w:val="thaiDistribute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0F0CD8">
        <w:rPr>
          <w:rFonts w:ascii="TH Niramit AS" w:eastAsia="Tahoma" w:hAnsi="TH Niramit AS" w:cs="TH Niramit AS"/>
          <w:b/>
          <w:bCs/>
          <w:color w:val="000000"/>
          <w:sz w:val="36"/>
          <w:szCs w:val="36"/>
          <w:cs/>
        </w:rPr>
        <w:t>๖.</w:t>
      </w:r>
      <w:r w:rsidRPr="000F0CD8">
        <w:rPr>
          <w:rFonts w:ascii="TH Niramit AS" w:eastAsia="Tahoma" w:hAnsi="TH Niramit AS" w:cs="TH Niramit AS"/>
          <w:color w:val="000000"/>
          <w:sz w:val="36"/>
          <w:szCs w:val="36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นิครนถ์นาฏบุตร </w:t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  <w:cs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snapToGrid w:val="0"/>
          <w:color w:val="000000"/>
          <w:sz w:val="34"/>
          <w:szCs w:val="34"/>
          <w:cs/>
          <w:lang w:eastAsia="th-TH"/>
        </w:rPr>
        <w:t xml:space="preserve">นิครนถ์นาฏบุตร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ได้ชื่อว่า นิครนถ์ เพราะสมาทานตลอดเวลาว่า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>เป็นไม่มีกิเลสเครื่องร้อยรัด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, 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>เป็นผู้เว้นขาดจากกิเลสเครื่องร้อยรัด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” 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>เหตุเพราะเว้นเครื่องร้อยรัดมีความพัวพันในเรือน นา สวน บุตร และภรรยา เป็นต้น ส่วนคำว่า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นาฏบุตร เพราะเดิมเป็นบุตรของนักฟ้อน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17"/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แนวความคิดทางปรัชญาของนิครนถ์นาฎบุตร คัมภีร์ทางพระพุทธศาสนาเรียกว่า อัตตกิลมัตถานุโยค หมายถึง ลัทธิที่ถือว่าการทรมานตนเองเป็นการเผากิเลส ทั้งนี้เพราะนิครนถ์ และสาวกของนิครนถ์ทั้งปวง ถือวัตรปฏิบัติ ๔ ประการอย่างเคร่งครัด ได้แก่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๑. เว้นน้ำดิบทุกอย่าง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๒. ประกอบกิจที่เว้นจากบาปทุกอย่าง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๓. ล้างบาปทุกอย่าง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๔. รับสัมผัสทุกอย่างโดยไม่ให้เกิดบาป</w:t>
      </w:r>
      <w:r w:rsidRPr="000F0CD8">
        <w:rPr>
          <w:rStyle w:val="FootnoteReference"/>
          <w:rFonts w:ascii="TH Niramit AS" w:eastAsia="Calibri" w:hAnsi="TH Niramit AS" w:cs="TH Niramit AS"/>
          <w:color w:val="000000"/>
          <w:sz w:val="34"/>
          <w:szCs w:val="34"/>
          <w:cs/>
        </w:rPr>
        <w:footnoteReference w:id="18"/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พิจารณาดูเผิน ๆ ดูเหมือนเป็นการเรื่องของการบำเพ็ญตบะอย่างยอดยิ่ง ควรแก่การยกย่อง น่าจะเป็นเรื่องของการขัดเกลากิเลสได้ แต่ร่องรอยที่ปรากฏในคัมภีร์ทางพระพุทธศาสนา ก็ทำให้เกิดข้อสังเกตว่า เป็นอย่างนั้นจริงหรือไม่ เช่น การถือว่า ฝุ่นละอองนั้นมีสิ่งมีชีวิตอยู่ (ชีวิตินทรีย์) เวลาฉันอาหารจึงใช้ผ้าปิดอวัยวะ เพราะถือว่า หากฝุ่นละอองตกลงในภาชนะภิกษาก็จะเป็นการทำลายสิ่งมีชีวิตเหล่านั้น</w:t>
      </w:r>
      <w:r w:rsidRPr="000F0CD8">
        <w:rPr>
          <w:rStyle w:val="FootnoteReference"/>
          <w:rFonts w:ascii="TH Niramit AS" w:eastAsia="Calibri" w:hAnsi="TH Niramit AS" w:cs="TH Niramit AS"/>
          <w:color w:val="000000"/>
          <w:sz w:val="34"/>
          <w:szCs w:val="34"/>
          <w:cs/>
        </w:rPr>
        <w:footnoteReference w:id="19"/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 xml:space="preserve"> เป็นต้น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>บรรดาครูทั้ง ๖ ตามที่ได้กล่าวถึงข้างต้น นิครนถ์นาฏบุตรนับเป็นเจ้าลัทธิที่มีบทบาทสำคัญ ดังจะเห็นได้จากในคัมภีร์ทางพระพุทธศาสนา มีร่องรอยการโต้วาท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lastRenderedPageBreak/>
        <w:t>ระหว่างนิครนถ์กับพระพุทธเจ้า และเหล่าพระสาวกของพระพุทธเจ้าอยู่หลายครั้ง สาวกของนิครนถ์บางท่าน มีตำแหน่งใหญ่โตในบ้านเมืองเป็นฐานกำลังให้กับผู้เป็นอาจารย์ โดยที่สุด แม้ลุงของพระสารีบุตร ก็ได้ชื่อว่าเป็นศิษย์คนหนึ่งของนิครนถ์นาฏบุตรเช่นกัน</w:t>
      </w:r>
      <w:r w:rsidRPr="000F0CD8">
        <w:rPr>
          <w:rStyle w:val="FootnoteReference"/>
          <w:rFonts w:ascii="TH Niramit AS" w:eastAsia="Calibri" w:hAnsi="TH Niramit AS" w:cs="TH Niramit AS"/>
          <w:color w:val="000000"/>
          <w:sz w:val="34"/>
          <w:szCs w:val="34"/>
          <w:cs/>
        </w:rPr>
        <w:footnoteReference w:id="20"/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 xml:space="preserve"> สาวกของนิครนถ์หลายท่าน มีชื่อเสียงในฐานะเป็นนักโต้ปรัชญาชั้นยอด เช่นกรณีของสัจจกนิครนถ์ มีบันทึกในคัมภีร์ทางพระพุทธศาสนาว่า 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>“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>เป็นบัณฑิต มีวาจาฉลาด ยังพระราชกุมารทั้งหลายให้ศึกษาศิลปะอยู่</w:t>
      </w:r>
      <w:r w:rsidRPr="000F0CD8">
        <w:rPr>
          <w:rFonts w:ascii="TH Niramit AS" w:eastAsia="Calibri" w:hAnsi="TH Niramit AS" w:cs="TH Niramit AS"/>
          <w:color w:val="000000"/>
          <w:sz w:val="34"/>
          <w:szCs w:val="34"/>
        </w:rPr>
        <w:t>”</w:t>
      </w:r>
      <w:r w:rsidRPr="000F0CD8">
        <w:rPr>
          <w:rStyle w:val="FootnoteReference"/>
          <w:rFonts w:ascii="TH Niramit AS" w:eastAsia="Calibri" w:hAnsi="TH Niramit AS" w:cs="TH Niramit AS"/>
          <w:color w:val="000000"/>
          <w:sz w:val="34"/>
          <w:szCs w:val="34"/>
        </w:rPr>
        <w:footnoteReference w:id="21"/>
      </w:r>
    </w:p>
    <w:p w:rsidR="00B3392F" w:rsidRPr="000F0CD8" w:rsidRDefault="00B3392F" w:rsidP="00B3392F">
      <w:pPr>
        <w:tabs>
          <w:tab w:val="left" w:pos="1134"/>
        </w:tabs>
        <w:adjustRightInd w:val="0"/>
        <w:spacing w:after="0" w:line="270" w:lineRule="atLeast"/>
        <w:jc w:val="thaiDistribute"/>
        <w:rPr>
          <w:rFonts w:ascii="TH Niramit AS" w:eastAsia="Calibri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Calibri" w:hAnsi="TH Niramit AS" w:cs="TH Niramit AS"/>
          <w:color w:val="000000"/>
          <w:sz w:val="34"/>
          <w:szCs w:val="34"/>
          <w:cs/>
        </w:rPr>
        <w:tab/>
        <w:t xml:space="preserve">ประเด็นแนวความคิดทางปรัชญา ตลอดจนรายละเอียดเกี่ยวกับนิครนถ์นาฏบุตร จะได้กล่าวโดยละเอียดอีกครั้งในตอนที่ว่าด้วยปรัชญาเชน </w:t>
      </w:r>
    </w:p>
    <w:p w:rsidR="00B3392F" w:rsidRPr="000F0CD8" w:rsidRDefault="0080585B" w:rsidP="0080585B">
      <w:pPr>
        <w:spacing w:before="240"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๒</w:t>
      </w:r>
      <w:r w:rsidR="002F29D2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ญาณวิทยา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โดยปกติ จริยศาสตร์ก็ตาม ญาณวิทยาก็ตามมักมีจุดยืนจากพื้นฐานแนวคิดทางอภิปรัชญา ขณะที่จารวากนั้นตรงกันข้าม กล่าวคือ ระบบความคิดทางปรัชญาของจารวากไม่ว่าจะในแง่ของอภิปรัชญาก็ตาม จริยศาสตร์ก็ตาม กลับตั้งอยู่บนพื้นฐานแนวความคิดทางญาณวิทยา กล่าวคือ จารวากนั้นยืนยันความรู้ทางผัสสะ หรือประสาทสัมผัสเท่านั้นที่ให้ความรู้ที่แท้จริงแก่เรา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2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อะไรก็ตามที่อยู่นอกเหนือประสาทสัมผัส ให้ตั้งข้อสงสัยไว้ก่อน แนวความคิดทางอภิปรัชญา และจริยศาสตร์ของจารวากจึงอธิบายบนพื้นฐานหลักการนี้ อะไรที่อยู่นอกเหนือจากนี้ จารวากไม่ยอมรับ ดังจะได้กล่าวข้างหน้า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ปรัชญาจากวากถือว่า ความรู้เชิงประจักษ์เป็นความรู้ตรง และเป็นความรู้ที่ถูกต้อง ส่วนความรู้ที่ได้จากการอ้างเหตุผลก็ตาม ความรู้ที่ได้จากการอนุมานก็ตาม รวมถึงความรู้ที่ได้จากอัชฌัติกญาณก็ตามล้วนมีข้อจำกัดซึ่งนำมาซึ่งความไม่น่าเชื่อถือ เพราะการอ้างเหตุผล ผู้อ้างอาจใช้เหตุผลที่ไม่สัมพันธ์กับข้อเท็จจริงก็อาจเป็นได้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เพื่อความชัดเจนยิ่งขึ้น ลองพิจารณาตัวอย่างต่อไปนี้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ตัวอย่างที่ ๑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ที่ใดมีควันที่นั่นมีไฟ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ที่ภูเขามีควัน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เพราะฉะนั้น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ที่ภูเขามีไฟ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before="240"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>ตัวอย่างที่ ๒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เมื่อวานฝนตก ถนนจึงเปียก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เมื่อเช้าวันนี้ถนนเปียก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แสดงว่าเช้าวันนี้ฝนตก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จากตัวอย่างข้างต้น พิจารณาโดยผิวเผิน เราก็จะเห็นข้อบกพร่องของข้ออ้างเหตุผล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ข้ออ้างแรก ดูเหมือนว่าอาจสรุปตามนั้น โดยไม่มีข้อโต้แย้ง อย่างไรก็ตาม ข้อเท็จจริงปัจจุบัน ควันบางอย่างก็ไม่จำเป็นต้องเกิดจากไฟเสมอไป เช่นควันที่เกิดจากการพ่นไล่ยุงลายเป็นต้น หรือควันที่เกิดจากสารเคมีบางอย่าง การที่เราเห็นควัน จึงไม่สามารถอนุมานถึงไฟได้ทุกกรณี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ทำนองเดียวกันกับข้ออ้างเหตุผลตัวอย่างที่ ๒ สามารถมองสรุปได้ทันทีว่า ไม่จำเป็นต้องเป็นไปตามนั้น เพราะถนนเปียกนั้นอาจเกิดได้จากหลายสาเหตุ การสรุปว่า ถนนเปียกทุกกรณีเกิดจากฝนตกเท่านั้น จึงขัดกับข้อเท็จจริง และไม่สามารถเชื่อถือได้ นี่แสดงให้เห็นว่า ความรู้ที่เกิดจากการอ้างเหตุผล หรือการอนุมานนั้น ไม่สามารถยืนยันความรู้แท้ได้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ส่วนความรู้ที่เกิดจากอัชฌัติกญาณก็เป็นความรู้ที่อยู่เหนือประสาทสัมผัส หลักการของจากรวากยอมรับเฉพาะความรู้ที่ได้จากประสาทสัมผัสเท่านั้น ความรู้ที่เกิดจากอัชฌติกญาณจึงได้รับการปฏิเสธตามไปด้วย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นอกจากการปฏิเสธความรู้ที่ได้จากแหล่งดังกล่าวแล้ว จารวากยังปฏิเสธความรู้ที่ได้จากการบอกเล่าจากบุคคลอื่น ซึ่งก็รวมไปถึงความรู้ที่ได้จากตำรา หรือคัมภีร์ด้วย เพราะตำรา หรือคัมภีร์อาจให้ความรู้ที่ผิดได้ ประเด็นนี้น่าสนใจ เพราะถ้ามองแบบผิวเผิน ความรู้ที่ได้จากตำราก็เกิดจากการใช้ประสาทตา ความรู้ที่ได้จากการบอกเล่าก็เกิดจากประสาทหู ซึ่งเป็นผัสสะ แต่เหตุใดจารวากจึงปฏิเสธ ซึ่งดูเหมือนจะเป็นการขัดแย้งกับหลักการข้างต้นว่า ยอมรับความรู้ที่ได้จากประสาทสัมผัส ประเด็นในข้อนี้ มีผู้รู้ได้ให้คำอธิบายไว้ว่า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ab/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t>คัมภีร์หรือตำรานั้นประกอบขึ้นด้วยคำพูดหรือศัพท์ ดังนั้น เมื่อคำพูดหรือศัพท์เหล่านั้นผ่านหูของเรา เราจึงได้เกิดความรู้ และรับเอาศัพท์นั้นตามที่ชินต่อโสตของ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  <w:cs/>
        </w:rPr>
        <w:lastRenderedPageBreak/>
        <w:t>เรา ดังนั้น ความรู้เกี่ยวกับศัพท์จึงเป็นความรู้ที่ผ่านเข้ามาทางประสบการณ์ทางหูของเรา และเราจึงยึดถือว่า ความรู้ชนิดนั้นเป็นความรู้ที่สมบูรณ์ แต่ว่า การที่คำพูดได้ชี้ความหมายของมันไปถึงสิ่งต่าง ๆ นั้น ไม่ได้อยู่ภายในขอบเขตแห่งประสบการณ์การรับรู้ของเรา และที่เป็นเช่นนั้นก็มุ่งหมายที่จะให้ความรู้ในสิ่งต่าง ๆ แก่เราที่ยังไม่ได้เคยพบเคยเห็นมาก่อน ดังนั้น คัมภีร์หรือตำราจึงตกอยู่ในความไม่แน่นอนเช่นเดียวกัน เพราะให้ความรู้ผิด ๆ และก่อให้เกิดความสงสัยขึ้นมาได้ เราทุก ๆ คนจึงมักสร้างความหลงผิดและคิดผิดในคัมภีร์ที่เรายอมรับนับถือว่าศักดิ์สิทธิ์เสมอ</w:t>
      </w:r>
      <w:r w:rsidRPr="000F0CD8">
        <w:rPr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t>”</w:t>
      </w:r>
      <w:r w:rsidRPr="000F0CD8">
        <w:rPr>
          <w:rStyle w:val="FootnoteReference"/>
          <w:rFonts w:ascii="TH Niramit AS" w:eastAsia="Times New Roman" w:hAnsi="TH Niramit AS" w:cs="TH Niramit AS"/>
          <w:i/>
          <w:iCs/>
          <w:color w:val="000000"/>
          <w:sz w:val="34"/>
          <w:szCs w:val="34"/>
        </w:rPr>
        <w:footnoteReference w:id="23"/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  <w:cs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ทัศนะทางญาณวิทยาของจารวาก ถือว่าท้าทายสังคมในยุคนั้นมาก เพราะเท่ากับปฏิเสธความรู้ทุกอย่างที่เป็นแบบแผนที่เคยยึดถือมาแต่เดิม แนวความคิดของจารวากจึงได้รับการโจมตี และวิพากษ์วิจารณ์อย่างกว้างขวาง ที่สำคัญยิ่งไปกว่านั้น ความรู้เชิงประจักษ์ที่จากรวากยืนยันว่าเป็นแหล่งความรู้แท้ ก็ได้รับการพิสูจน์ให้เห็นจริงว่า มีข้อบกพร่องอย่างไรบ้าง โดยเฉพาะการตั้งโจทย์กลับไปในทำนองว่า การที่จารวากกล่าวว่า ความรู้ที่ได้จากเหตุผล หรือการอนุมานเป็นความรู้ไม่ถูกต้อง ก็เป็นเพียงการ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อนุมาน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”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ของพวกจารวาก ถ้าจารวากไม่ยอมรับการอนุมาน ข้อความกล่าวอ้างดังกล่าวข้างต้นของจากรวาก ก็ไม่น่าเชื่อถือเช่นกัน </w:t>
      </w:r>
    </w:p>
    <w:p w:rsidR="00B3392F" w:rsidRPr="000F0CD8" w:rsidRDefault="0080585B" w:rsidP="0080585B">
      <w:pPr>
        <w:spacing w:before="240"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๓</w:t>
      </w:r>
      <w:r w:rsidR="002F29D2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อภิปรัชญา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จารวากยอมรับความมีอยู่เพียงธาตุ ๔ คือ ดิน น้ำ ลม ลม ไฟ ไม่ยอมรับความมีอยู่ของอีเธอร์ ทั้งนี้เพราะไม่สามารถรับรู้ได้ทางประสาทสัมผัส ดังที่ได้กล่าวแล้วในแนวคิดพื้นฐานทางญาณวิทยาที่ว่า อะไรก็ตามที่ไม่สามารถสัมผัสได้ เราก็ไม่ควรยอมรับความมีอยู่ของสิ่งนั้น ไม่ว่าเป็นนรก สวรรค์ อาตมัน พระเจ้า ภพหน้า ชาติหน้า เป็นต้น โดยที่สุด แม้กระทั่งจิตใจ หรือจิตวิญญาณ ก็ถือว่าเป็นเพียงผลิตผลของวัตถุ (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by-product of matter)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4"/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ab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หลักอภิปรัชญาของจากวาก สามารถสรุปได้ ๓ ประเด็นหลัก ได้แก่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5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lastRenderedPageBreak/>
        <w:tab/>
        <w:t xml:space="preserve">๑. โลกนี้ประกอบขึ้นมาโดยธาตุ ๔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นักปรัชญาอินเดียส่วนใหญ่ยอมรับว่า โลกประกอบขึ้นจากธาตุต่าง ๆ ๕ ชนิด ได้แก่ ดิน (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Earth)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น้ำ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(Water)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ไฟ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(Fire)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ลม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(Air)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และอากาศธาตุ (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ether)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ขณะที่จากรวากปฏิเสธอากาศธาตุ เพราะว่าอากาศธาตุนั้น เราไม่สามารถรับรู้ได้ทางประสาทสัมผัส เราเพียงแต่อนุมานว่ามีอยู่เท่านั้น เมื่อจารวากปฏิเสธความรู้แบบอนุมาน จึงต้องปฏิเสธอากาศธาตุตามไปด้วย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ตามทัศนะของจารวากโลก และสรรพสิ่งทั้งหลายในโลก ล้วนเกิดมาจากพื้นฐานของธาตุทั้ง ๔ นี้ทั้งสิ้น ไม่ว่าสิ่งนั้นจะมีชีวิต หรือไม่มีชีวิตก็ตาม มนุษย์เกิดมาจากธาตุ ๔ เมื่อร่างกายแตกสลาย ก็คือธาตุทั้ง ๔ แตกสลาย ไม่มีอะไรนอกจากธาตุ ๔ คงเหลืออยู่ หลักการดังกล่าวนี้ของจากรวาก นำไปสู่บทสรุปข้อที่ ๒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ab/>
        <w:t>๒.ไม่มีวิญญาณใด ๆ ในโลก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อย่างที่ได้กล่าวแล้วข้างต้น มนุษย์ประกอบขึ้นจากธาตุ ๔ คือ ดิน น้ำ ลม ไฟ ธาตุเหล่านี้เมื่อประกอบกันเข้าแล้ว ก็ได้คุณสมบัติพิเศษ คือสามารถรับผัสสะต่าง ๆ ได้ เช่น เรารับผัสสะผ่านตา ผ่านหู ผ่านจมูก ผ่านลิ้น ผ่านกาย ซึ่งทั้งหมดเมื่อผ่านมาแล้วก็ทำให้เราเกิดความรู้สึกทางผัสสะ ไม่ใช่เกิดคุณสมบัติใหม่ที่เรียกว่า จิต หรือวิญญาณ มาทำหน้าที่รับรู้ จิตหรือวิญญาณ ไม่ใช่คุณสมบัติใหม่นอกเหนือไปจากสิ่งที่มีอยู่แล้วในร่างกาย หรือผัสสะของเรา ดังนั้นความรู้สึกจึงเป็นคุณสมบัติของร่างกาย ไม่ใช่สิ่งที่เรียกว่าวิญญาณเหมือนอย่างที่เข้าใจกัน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ในทัศนะของจารวาก ไม่มีอะไรนอกเหนือไปจากร่างกายที่รู้สึกเท่านั้น วิญญาณอันเป็นส่วนที่ไม่ใช่วัตถุนั้น เราไม่เคยพบเคยเห็น และไม่เคยสัมผัสเลย ตรงกันข้าม เรามีพยานหลักฐานแสดงให้เห็นว่าร่างกายคือวิญญาณ หรือเข้าว่าวิญญาณกับร่างกายเป็นอย่างเดียวกัน จากประสบการณ์ในชีวิตประจำวัน เรามักจะคิดไปว่า เราอ้วน เราผอม เราง่อย เราบอด ถ้าเราเข้าใจไปว่าตัวเราคือวิญญาณแตกต่างจากร่างกายาแล้ว ความเข้าใจเช่นนั้นก็ไม่มีความหมายอันใดเลย นอกจากเป็นความคิดคำนึงเองเองเท่านั้น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ประเด็นดังกล่าวนี้ ก็อาจจะมีข้อโต้แย้งขึ้นมาว่า เมื่อเราไม่เคยเห็นความรู้สึกในรูปใดรูปหนึ่งของธาตุทั้ง ๔ เราจะมั่นใจได้อย่างไรว่า ความรู้สึกจะเป็นเรื่องคุณสมบัติของวัตถุ หรือเป็นผลิตผลของธาตุทั้ง ๔ ได้อย่างไร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ab/>
        <w:t>จารวากตอบคำถามนี้ว่า ความรู้สึก หรือสิ่งที่เรียกว่า จิต หรือวิญญาณ ไม่ใช่สิ่งที่มีมาแต่เดิมพร้อมธาตุ ๔ หากแต่เป็นสิ่งที่เกิดขึ้นมาภายหลังเมื่อธาตุทั้ง ๔ มาผสมผสานกันแล้ว ตัวอย่างเช่น ใบพลู ปูน และหมาก ผสมกันแล้วก่อให้เกิดสีแดง สีแดงเป็นคุณสมบัติที่เกิดขึ้นมาใหม่ และเป็นคุณสมบัติที่เกิดจากการผสมผสานของใบพลู ปูน หมากนั่นเอง หรืออีกตัวอย่างหนึ่ง เช่น เชื้อน้ำเมา แต่เดิมก็ไม่มีเชื้อเมาอยู่เลย แต่เมื่อนำมาผสมให้ถูกสัดส่วน ก็ทำให้เกิดความมึนเมาขึ้นมาได้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ทำนองเดียวกันนี้ เราอาจคิดต่อไปอีกว่า วัตถุธาตุต่าง ๆ เมื่อผสมผสานกันเข้าตามอัตราส่วนที่เหมาะสม ก็ทำให้เกิดร่างกาย และมีชีวิตจิตใจขึ้นมาได้ ความรู้สึกเป็นประสบการณ์ผลพลอยได้ซึ่งเกิดมาจากวัตถุโดยตรง ไม่มีสิ่งอื่นใดนอกเหนือไปจากวัตถุธาตุเหล่านี้เลย เราไม่เคยพบเห็นสิ่งที่เข้าใจกันว่าจิต หรือวิญญาณแต่ประการใด การเข้าใจว่ามีวิญญาณเป็นอีกสิ่งหนึ่งนอกไปจากร่างกายจึงเป็นสิ่งที่ไม่สามารถพิสูจน์ได้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  <w:cs/>
        </w:rPr>
        <w:tab/>
        <w:t>๓.ไม่มีพระผู้เป็นเจ้า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ในทัศนะของจารวาก ความมีอยู่ของพระผู้เป็นเจ้า ก็เป็นเช่นเดียวกับการมีอยู่ของจิต หรือวิญญาณ คือไม่สามารถพิสูจน์ได้ทางผัสสะ การอ้างว่ามีพระผู้เป็นเจ้าผู้สร้างโลกจึงเป็นสิ่งที่ไม่จำเป็น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อาจมีคำถามแทรกขึ้นมาว่า ถ้าพระผู้เป็นเจ้าไม่มีอยู่ไซร้ ธาตุ ๔ คือ ดิน น้ำ ลม ไฟ สามารถก่อตัวเป็นโลก ตลอดสรรพสิ่งในโลกได้อย่างวิจิตรพิสดารเพราะเหตุใด อุปมาเหมือนเราต้องการหม้อดินสักใบ ถ้ามีแต่เพียงธาตุ ๔ คือ ดิน น้ำ ลม ไฟ หม้อดินก็เกิดขึ้นไม่ได้ ต้องมีนายช่างผู้ชำนาญการเป็นผู้ปั้น หม้อจึงจะเกิดขึ้นมาได้ อยู่ ๆ ธาตุเหล่านั้นจะมารวมตัวโดยไม่มีผู้สร้างได้อย่างไร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เกี่ยวกับประเด็นนี้ จารวากเฉลยว่า ธาตุทั้ง ๔ คือ ดิน น้ำ ลม ไฟ มีธรรมชาติ หรือคุณสมบัติประจำตัวของมัน แม้ไม่มีผู้สร้าง ผู้บันดาล ธาตุเหล่านี้ก็มีศักยภาพในการผสมผสานให้กลายเป็นสิ่งต่าง ๆ ในโลกได้ ดังนั้นจึงไม่มีความจำเป็นต้องมีพระเจ้าเป็นผู้สร้างขึ้นมาอีก ทั้งความคิดดังกล่าวก็ไม่สามารถพิสูจน์ได้ กระบวนการสร้างโลก หรือชีวิตจึงเป็นเรื่องของธรรมชาติ ซึ่งมีอยู่พร้อมแล้วในธาตุทั้ง ๔ นั้น </w:t>
      </w:r>
    </w:p>
    <w:p w:rsidR="00B3392F" w:rsidRPr="000F0CD8" w:rsidRDefault="0080585B" w:rsidP="0080585B">
      <w:pPr>
        <w:spacing w:before="240"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๔</w:t>
      </w:r>
      <w:r w:rsidR="002F29D2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จริยศาสตร์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ดังได้กล่าวแล้วข้างต้น หลักอภิปรัชญาและจริยศาสตร์ของจารวากนั้น ตั้งอยู่บนพื้นฐานของญาณวิทยา ที่ยึดถือเฉพาะสิ่งที่สามารถสัมผัสได้โดยตรงทางประสาท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 xml:space="preserve">สัมผัสเท่านั้นเป็นความจริง ที่เหลือนอกจากนั้น จารวากไม่ยอมรับ ซึ่งจากหลักการดังกล่าว เมื่อโยงมาหาหลักจริยศาสตร์ จารวากปฏิเสธความสุขอื่น ๆ ยอมรับแต่เพียงความสุขทางเนื้อหนังมังสาเท่านั้นเป็นบรมสุข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(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summum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bonum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)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สำหรับชีวิต เพราะเป็นสิ่งที่มีอยู่จริง และสามารถสัมผัสได้ หลักจริยศาสตร์จึงมุ่งส่งเสริมให้คน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“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กิน ดื่ม และเสพสุข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>”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เพราะเมื่อร่างกายนี้กลายเป็นเถ้าถ่านไปแล้ว เราจะไม่ได้กลับมาที่นี่อีก ไม่มีโลกหน้า ไม่มีวิญญาณดำรงอยู่หลังจากตายไปแล้ว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6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หลักจริยศาสตร์ของจารวาก เมื่อพิจารณาจากบริบททางสังคมในเวลา จึงเท่ากับเป็นการปฏิเสธแนวทางที่ดีงามที่ปรัชญา หรือเจ้าลัทธิศาสนาหลายสำนักสั่งสอนอยู่เวลานั้น นับตั้งแต่แนวทางที่สั่งสอนในคัมภีร์พระเวท อุปนิษัท กระทั่งปรัชญาสายอาสติกะอีก ๖ สำนัก รวมถึงหลักปรัชญาคำสั่งสอนของพระพุทธศาสนาด้วย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กล่าวโดยสรุป ปรัชญาจารวากปฏิเสธหลักการใดบ้าง ประมวลเป็นข้อ ๆ พอเป็นตัวอย่างดังนี้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๑. ปฏิเสธสวรรค์อันเป็นดินแดนสุขาวดี ซึ่งบุคคลสามารถเข้าถึงได้ก็ด้วยการปฏิบัติตามพิธีกรรมในพระเวท ทัศนะดังกล่าวนี้ไม่สามารถพิสูจน์ นอกจากปฏิเสธเรื่องสวรรค์แล้ว จารวากยังปฏิเสธเรื่องนรกด้วย โดยถือว่า สิ่งเหล่านี้เป็นเพียงอุบายของศาสดาที่มีจุดมุ่งหมายเพื่อขู่ขวัญให้เกิดความกลัวเพื่อผลประโยชน์บางอย่าง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๒. ปรัชญาอินเดียทุกสำนักสอนเรื่องความหลุดพ้นว่าเป็นจุดมุ่งหมายอันประเสริฐสูงสุดของชีวิต เพราะเมื่อบรรลุถึงสภาวะดังกล่าวแล้ว จะทำให้หลุดพ้นจากความทุกข์ทั้งปวง จารวากถือว่าทัศนะดังกล่าวว่าเป็นเรื่องเหลวไหล เราไม่สามารถพิสูจน์ได้ว่า เมื่อวิญญาณหลุดพ้นจากพันธนาการทั้งปวงแล้ว จะทำให้พบความสุขนิรันดรได้ มนุษย์จะหลุดพ้นจากความทุกข์ทั้งปวงได้ก็ต่อเมื่อชีวิตหาไม่แล้วเท่านั้น ดังนั้น ถ้าจะหาความสุข ร่างกายนี้ต่างหากที่สามารถพิสูจน์ความสุขเพลิดเพลินในโลกนี้ได้ การหวังความสุข หรือความเพลิดเพลินในโลกหน้า เป็นสิ่งที่ไม่สามารถพิสูจน์ได้ และถือเป็นเรื่องไร้สาระ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๓. ชีวิตที่ดีที่สุดคือชีวิตที่หาความสุขและความเพลิดเพลินได้มากที่สุด การกระทำที่ดีที่สุด คือการกระทำที่นำความสุข และความเพลิดเพลินมาสู่ตน แนวความคิดทางจริยศาสตร์เรียกว่าเป็น สุขนิยม (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Hedonism) 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คือลัทธิบูชาความสุขเป็นที่ตั้ง หลักการ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lastRenderedPageBreak/>
        <w:t>ที่สำคัญของฮินดูสอนถึงจุดประสงค์ที่สำคัญ ๔ ประการของชีวิต ได้แก่ ๑) ประโยชน์ ๒) กาม ๓) ธรรม และ ๔) โมกษะ ขณะที่จารวากยอมรับเพียง ๑) ประโยชน์ และ ๒) กาม เท่านั้นเป็นจุดมุ่งหมายสูงสุดของชีวิต ส่วนธรรมะ และโมกษะไม่ใช่จุดมุ่งหมายของชีวิต ประโยชน์ อันได้แก่ความมั่งคั่ง และความเพลินเพลินสำราญเท่านั้นเป็นเป้าหมายของชีวิตที่บุคคลควรแสวงหา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</w:p>
    <w:p w:rsidR="00B3392F" w:rsidRPr="000F0CD8" w:rsidRDefault="0080585B" w:rsidP="00B3392F">
      <w:pPr>
        <w:tabs>
          <w:tab w:val="left" w:pos="1134"/>
        </w:tabs>
        <w:spacing w:after="0" w:line="270" w:lineRule="atLeast"/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</w:pPr>
      <w:r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>๕</w:t>
      </w:r>
      <w:r w:rsidR="002F29D2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>.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  <w:cs/>
        </w:rPr>
        <w:t xml:space="preserve"> บทสรุป</w:t>
      </w:r>
      <w:r w:rsidR="00B3392F" w:rsidRPr="000F0CD8">
        <w:rPr>
          <w:rFonts w:ascii="TH Niramit AS" w:eastAsia="Times New Roman" w:hAnsi="TH Niramit AS" w:cs="TH Niramit AS"/>
          <w:b/>
          <w:bCs/>
          <w:color w:val="000000"/>
          <w:sz w:val="36"/>
          <w:szCs w:val="36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 xml:space="preserve">ปรัชญาจากวาก เป็นปรัชญาที่จุดกำเนิดมาจากความไม่พอใจในลัทธิประเพณีดั้งเดิมที่สืบเชื้อสายมาจากพระเวท โดยเฉพาะความไม่พอใจต่อพิธีกรรมของพวกพราหมณ์ที่ช่วงหลัง ๆ มักจะมีผลประโยชน์เข้าไปเกี่ยวข้อง แทนที่จะมุ่งสั่งสอนให้ประชาชนได้เข้าถึงสัจธรรมความจริง ลัทธินี้จึงสั่งสอนในสิ่งที่ตรงกันข้ามโดยการปฏิเสธระบบศีลธรรมทั้งหมดไม่ว่าจะเป็นความดี ความชั่ว นรก สวรรค์ โลกหน้า จารวากจึงคล้าย ๆ กับพวกเอปิคิวเรียนในประเทศกรีกที่มักจะเป็นที่เกลียดชังมากกว่าให้ความสนใจ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อย่างไรก็ตาม ผู้คนส่วนใหญ่แม้จะบอกว่าเกลียด หรือต่อต้านแนวความคิดนี้ แต่ลึก ๆ แล้ว หลายต่อหลายเรื่องก็นิยมชมชอบโดยไม่รู้ตัว ที่สำคัญยิ่งไปกว่านั้นก็คือ วงการปรัชญาอินเดียที่ผุดขึ้นมาเป็นดอกเห็ด ก็เพราะจารวากเป็นมูลเหตุ การอุบัติขึ้นของจารวาก สะท้อนให้เห็นถึงอิสรภาพทางความคิด ซึ่งถือเป็นหัวใจสำคัญที่ทำให้เกิดสำนักปรัชญาอีกหลายสำนักในเวลาต่อมา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ab/>
        <w:t>มีร่องรอยหลักฐานหลายประการในคัมภีร์ทางพระพุทธศาสนาที่ยืนยันว่า ในยุคที่พระพุทธศาสนาอุบัติขึ้นมานั้น เป็นยุคที่ความเจริญ หรือพัฒนาการทางความคิดทางปรัชญาของมนุษย์ได้ถึงจุดสูงสุด มีการสร้างศาลาสี่มุมเมือง</w:t>
      </w:r>
      <w:r w:rsidRPr="000F0CD8">
        <w:rPr>
          <w:rStyle w:val="FootnoteReference"/>
          <w:rFonts w:ascii="TH Niramit AS" w:eastAsia="Times New Roman" w:hAnsi="TH Niramit AS" w:cs="TH Niramit AS"/>
          <w:color w:val="000000"/>
          <w:sz w:val="34"/>
          <w:szCs w:val="34"/>
          <w:cs/>
        </w:rPr>
        <w:footnoteReference w:id="27"/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  <w:cs/>
        </w:rPr>
        <w:t>ไว้โดยการสนับสนุนของเจ้าฟ้ามหากษัตริย์เพื่อเป็นที่โต้ลัทธิปรัชญา คัมภีร์พระพุทธศาสนาจึงปรากฏร่องรอยหลายแห่งที่แสดงให้เห็นว่า พระพุทธเจ้า และเหล่าสาวกได้เคยมีการโต้ลัทธิบ่อยครั้ง</w:t>
      </w:r>
      <w:r w:rsidRPr="000F0CD8">
        <w:rPr>
          <w:rFonts w:ascii="TH Niramit AS" w:eastAsia="Times New Roman" w:hAnsi="TH Niramit AS" w:cs="TH Niramit AS"/>
          <w:color w:val="000000"/>
          <w:sz w:val="34"/>
          <w:szCs w:val="34"/>
        </w:rPr>
        <w:t xml:space="preserve"> </w:t>
      </w:r>
    </w:p>
    <w:p w:rsidR="00B3392F" w:rsidRPr="000F0CD8" w:rsidRDefault="00B3392F" w:rsidP="00B3392F">
      <w:pPr>
        <w:tabs>
          <w:tab w:val="left" w:pos="1134"/>
        </w:tabs>
        <w:spacing w:after="0" w:line="270" w:lineRule="atLeast"/>
        <w:jc w:val="thaiDistribute"/>
        <w:rPr>
          <w:rFonts w:ascii="TH Niramit AS" w:eastAsia="Times New Roman" w:hAnsi="TH Niramit AS" w:cs="TH Niramit AS"/>
          <w:color w:val="000000"/>
          <w:sz w:val="34"/>
          <w:szCs w:val="34"/>
        </w:rPr>
      </w:pPr>
      <w:bookmarkStart w:id="0" w:name="_GoBack"/>
      <w:bookmarkEnd w:id="0"/>
    </w:p>
    <w:sectPr w:rsidR="00B3392F" w:rsidRPr="000F0CD8" w:rsidSect="00A91CD3">
      <w:headerReference w:type="default" r:id="rId8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8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8A" w:rsidRDefault="00292E8A" w:rsidP="00645EDC">
      <w:pPr>
        <w:spacing w:after="0" w:line="240" w:lineRule="auto"/>
      </w:pPr>
      <w:r>
        <w:separator/>
      </w:r>
    </w:p>
  </w:endnote>
  <w:endnote w:type="continuationSeparator" w:id="0">
    <w:p w:rsidR="00292E8A" w:rsidRDefault="00292E8A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8A" w:rsidRDefault="00292E8A" w:rsidP="00645EDC">
      <w:pPr>
        <w:spacing w:after="0" w:line="240" w:lineRule="auto"/>
      </w:pPr>
      <w:r>
        <w:separator/>
      </w:r>
    </w:p>
  </w:footnote>
  <w:footnote w:type="continuationSeparator" w:id="0">
    <w:p w:rsidR="00292E8A" w:rsidRDefault="00292E8A" w:rsidP="00645EDC">
      <w:pPr>
        <w:spacing w:after="0" w:line="240" w:lineRule="auto"/>
      </w:pPr>
      <w:r>
        <w:continuationSeparator/>
      </w:r>
    </w:p>
  </w:footnote>
  <w:footnote w:id="1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Lokáyata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Cárváka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-Indian Materialism &lt;Internet Encyclopedia of Philosophy&gt; http://www.iep.utm.edu/indmat/ &lt;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เข้าถึงเมื่อวันที่ ๓ มีนาคม ๒๕๕๔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&gt;</w:t>
      </w:r>
    </w:p>
  </w:footnote>
  <w:footnote w:id="2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สุนทร ณ รังสี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 xml:space="preserve">ปรัชญาอินเดีย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ประวัติและลัทธิ.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(กรุงเทพ ฯ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สำนักพิมพ์จุฬาลงกรณ์มหาวิทยาลัย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๒๕๓๗)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๖๒.</w:t>
      </w:r>
    </w:p>
  </w:footnote>
  <w:footnote w:id="3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ม.ม. ๑๓/๒๓๘/๒๘๐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ที.สี.๙/๑๕๑/๔๘ เป็นต้น</w:t>
      </w:r>
    </w:p>
  </w:footnote>
  <w:footnote w:id="4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ที.สี.อ.๒๕๖/๒๒๒</w:t>
      </w:r>
    </w:p>
  </w:footnote>
  <w:footnote w:id="5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มหามกุฎราชวิทยาลัย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มังคลัตถทีปนี แปล เล่ม ๑. (กรุงเทพ ฯ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มหามกุฎราชวิทยาลัย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๒๕๓๗)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๖๒.</w:t>
      </w:r>
    </w:p>
  </w:footnote>
  <w:footnote w:id="6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ที.สี. ๙/๑๖๖/๕๓-๕๔.</w:t>
      </w:r>
    </w:p>
  </w:footnote>
  <w:footnote w:id="7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จำนงค์ ทองประเสริฐ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ผู้แปล.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บ่อเกิดลัทธิประเพณีอินเดีย เล่ม ๑.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(กรุงเทพ ฯ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ราชบัณฑิตยสถานจัดพิมพ์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๒๕๔๐)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๔๔.</w:t>
      </w:r>
    </w:p>
  </w:footnote>
  <w:footnote w:id="8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เรื่องเดียวกัน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๔๔.</w:t>
      </w:r>
    </w:p>
  </w:footnote>
  <w:footnote w:id="9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  <w:cs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ที.สี. ๙/๑๖๘/๕๔-๕๕. </w:t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</w:p>
  </w:footnote>
  <w:footnote w:id="10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สํ.ส.๑๘/๔๑๘/๔๙๑-๔๙๒.</w:t>
      </w:r>
    </w:p>
  </w:footnote>
  <w:footnote w:id="11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ที.สี.๙/๑๗๑/๕๖-๕๗.</w:t>
      </w:r>
    </w:p>
  </w:footnote>
  <w:footnote w:id="12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จำนงค์ ทองประเสริฐ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๔๕.</w:t>
      </w:r>
    </w:p>
  </w:footnote>
  <w:footnote w:id="13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จำนงค์ ทองประเสริฐ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ผู้แปล.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๔๕.</w:t>
      </w:r>
    </w:p>
  </w:footnote>
  <w:footnote w:id="14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ที.สี.๙/๑๗๔/๕๗-๕๘.</w:t>
      </w:r>
    </w:p>
  </w:footnote>
  <w:footnote w:id="15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ที.สี.๙/๑๘๐/๕๙.</w:t>
      </w:r>
    </w:p>
  </w:footnote>
  <w:footnote w:id="16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จำนงค์ ทองประเสริฐ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ผู้แปล.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๔๕.</w:t>
      </w:r>
    </w:p>
  </w:footnote>
  <w:footnote w:id="17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มหามกุฎราชวิทยาลัย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มังคลัตถทีปนีแปล เล่ม ๑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๖๔.</w:t>
      </w:r>
    </w:p>
  </w:footnote>
  <w:footnote w:id="18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ที.สี.๙/๑๗๗/๕๙.</w:t>
      </w:r>
    </w:p>
  </w:footnote>
  <w:footnote w:id="19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มหามกุฎราชวิทยาลัย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ธัมมปทัฏฐกถา แปล ภาค ๗.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(กรุงเทพ ฯ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มหามกุฏราชวิทยาลัย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๒๕๓๗)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๒๐๕.</w:t>
      </w:r>
    </w:p>
  </w:footnote>
  <w:footnote w:id="20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มหามกุฎราชวิทยาลัย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มังคลัตถทีปนีแปล เล่ม ๑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๑๑๐.</w:t>
      </w:r>
    </w:p>
  </w:footnote>
  <w:footnote w:id="21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มหามกุฎราชวิทยาลัย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มังคลัตถทีปนีแปล เล่ม ๔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 (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กรุงเทพ ฯ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มหามกุฏราชวิทยาลัย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๒๕๔๒)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๑๖๒.</w:t>
      </w:r>
    </w:p>
  </w:footnote>
  <w:footnote w:id="22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Radhakrishnan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. (</w:t>
      </w:r>
      <w:proofErr w:type="gram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ed</w:t>
      </w:r>
      <w:proofErr w:type="gram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.).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History of Philosophy: Eastern and Western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. (London : George Allen &amp; Unwin LTD.,1967), p.134</w:t>
      </w:r>
    </w:p>
  </w:footnote>
  <w:footnote w:id="23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สนั่น ไชยานุกูล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ผู้แปล.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ปรัชญาอินเดีย.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(กรุงเทพ ฯ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: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มหาจุฬาลงกรณราชวิทยาลัย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๒๕๑๙)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๑๐๙.</w:t>
      </w:r>
    </w:p>
  </w:footnote>
  <w:footnote w:id="24">
    <w:p w:rsidR="001E23E2" w:rsidRPr="000F0CD8" w:rsidRDefault="001E23E2" w:rsidP="00B3392F">
      <w:pPr>
        <w:pStyle w:val="FootnoteText"/>
        <w:tabs>
          <w:tab w:val="left" w:pos="1080"/>
        </w:tabs>
        <w:jc w:val="thaiDistribute"/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Dr.Chandradhar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Sharma.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A Critical Survey of Indian Philosophy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. (Delhi :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Motilal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Banarsidass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 1973), p.44</w:t>
      </w:r>
    </w:p>
  </w:footnote>
  <w:footnote w:id="25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สนั่น ไชยานุกูล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 xml:space="preserve"> ผู้แปล. </w:t>
      </w:r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  <w:cs/>
        </w:rPr>
        <w:t>อ้างแล้ว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, </w:t>
      </w:r>
      <w:r w:rsidRPr="000F0CD8">
        <w:rPr>
          <w:rFonts w:ascii="TH Niramit AS" w:eastAsia="Times New Roman" w:hAnsi="TH Niramit AS" w:cs="TH Niramit AS"/>
          <w:color w:val="000000"/>
          <w:sz w:val="28"/>
          <w:szCs w:val="28"/>
          <w:cs/>
        </w:rPr>
        <w:t>หน้า ๑๑๒.</w:t>
      </w:r>
    </w:p>
  </w:footnote>
  <w:footnote w:id="26">
    <w:p w:rsidR="001E23E2" w:rsidRPr="000F0CD8" w:rsidRDefault="001E23E2" w:rsidP="00B3392F">
      <w:pPr>
        <w:pStyle w:val="FootnoteText"/>
        <w:tabs>
          <w:tab w:val="left" w:pos="1080"/>
        </w:tabs>
        <w:rPr>
          <w:rFonts w:ascii="TH Niramit AS" w:hAnsi="TH Niramit AS" w:cs="TH Niramit AS"/>
          <w:sz w:val="28"/>
          <w:szCs w:val="28"/>
          <w:cs/>
        </w:rPr>
      </w:pPr>
      <w:r w:rsidRPr="000F0CD8">
        <w:rPr>
          <w:rFonts w:ascii="TH Niramit AS" w:hAnsi="TH Niramit AS" w:cs="TH Niramit AS"/>
          <w:sz w:val="28"/>
          <w:szCs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  <w:szCs w:val="28"/>
        </w:rPr>
        <w:footnoteRef/>
      </w:r>
      <w:r w:rsidRPr="000F0CD8">
        <w:rPr>
          <w:rFonts w:ascii="TH Niramit AS" w:hAnsi="TH Niramit AS" w:cs="TH Niramit AS"/>
          <w:sz w:val="28"/>
          <w:szCs w:val="28"/>
        </w:rPr>
        <w:t xml:space="preserve"> </w:t>
      </w:r>
      <w:proofErr w:type="spellStart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Dr.Chandradhar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 xml:space="preserve"> Sharma. </w:t>
      </w:r>
      <w:proofErr w:type="spellStart"/>
      <w:r w:rsidRPr="000F0CD8">
        <w:rPr>
          <w:rFonts w:ascii="TH Niramit AS" w:eastAsia="Times New Roman" w:hAnsi="TH Niramit AS" w:cs="TH Niramit AS"/>
          <w:b/>
          <w:bCs/>
          <w:color w:val="000000"/>
          <w:sz w:val="28"/>
          <w:szCs w:val="28"/>
        </w:rPr>
        <w:t>Op.cit</w:t>
      </w:r>
      <w:proofErr w:type="spellEnd"/>
      <w:r w:rsidRPr="000F0CD8">
        <w:rPr>
          <w:rFonts w:ascii="TH Niramit AS" w:eastAsia="Times New Roman" w:hAnsi="TH Niramit AS" w:cs="TH Niramit AS"/>
          <w:color w:val="000000"/>
          <w:sz w:val="28"/>
          <w:szCs w:val="28"/>
        </w:rPr>
        <w:t>. p.46.</w:t>
      </w:r>
    </w:p>
  </w:footnote>
  <w:footnote w:id="27">
    <w:p w:rsidR="001E23E2" w:rsidRPr="000F0CD8" w:rsidRDefault="001E23E2" w:rsidP="00B3392F">
      <w:pPr>
        <w:tabs>
          <w:tab w:val="left" w:pos="1080"/>
        </w:tabs>
        <w:spacing w:after="150" w:line="270" w:lineRule="atLeast"/>
        <w:jc w:val="thaiDistribute"/>
        <w:rPr>
          <w:rFonts w:ascii="TH Niramit AS" w:eastAsia="Times New Roman" w:hAnsi="TH Niramit AS" w:cs="TH Niramit AS"/>
          <w:color w:val="000000"/>
          <w:sz w:val="28"/>
        </w:rPr>
      </w:pPr>
      <w:r w:rsidRPr="000F0CD8">
        <w:rPr>
          <w:rFonts w:ascii="TH Niramit AS" w:hAnsi="TH Niramit AS" w:cs="TH Niramit AS"/>
          <w:sz w:val="28"/>
          <w:cs/>
        </w:rPr>
        <w:tab/>
      </w:r>
      <w:r w:rsidRPr="000F0CD8">
        <w:rPr>
          <w:rStyle w:val="FootnoteReference"/>
          <w:rFonts w:ascii="TH Niramit AS" w:hAnsi="TH Niramit AS" w:cs="TH Niramit AS"/>
          <w:sz w:val="28"/>
        </w:rPr>
        <w:footnoteRef/>
      </w:r>
      <w:r w:rsidRPr="000F0CD8">
        <w:rPr>
          <w:rFonts w:ascii="TH Niramit AS" w:hAnsi="TH Niramit AS" w:cs="TH Niramit AS"/>
          <w:sz w:val="28"/>
        </w:rPr>
        <w:t xml:space="preserve"> </w:t>
      </w:r>
      <w:r w:rsidRPr="000F0CD8">
        <w:rPr>
          <w:rFonts w:ascii="TH Niramit AS" w:eastAsia="Times New Roman" w:hAnsi="TH Niramit AS" w:cs="TH Niramit AS"/>
          <w:color w:val="000000"/>
          <w:sz w:val="28"/>
          <w:cs/>
        </w:rPr>
        <w:t xml:space="preserve">ที.สี.๙/๒๗๕/๒๕๒. ดูโปฏฐปาทสูตร พรรณนาถึงพระนางมัลลิกาเทวี สร้าง </w:t>
      </w:r>
      <w:r w:rsidRPr="000F0CD8">
        <w:rPr>
          <w:rFonts w:ascii="TH Niramit AS" w:eastAsia="Times New Roman" w:hAnsi="TH Niramit AS" w:cs="TH Niramit AS"/>
          <w:color w:val="000000"/>
          <w:sz w:val="28"/>
        </w:rPr>
        <w:t>“</w:t>
      </w:r>
      <w:r w:rsidRPr="000F0CD8">
        <w:rPr>
          <w:rFonts w:ascii="TH Niramit AS" w:eastAsia="Times New Roman" w:hAnsi="TH Niramit AS" w:cs="TH Niramit AS"/>
          <w:color w:val="000000"/>
          <w:sz w:val="28"/>
          <w:cs/>
        </w:rPr>
        <w:t>ศาลาถกแถลง</w:t>
      </w:r>
      <w:r w:rsidRPr="000F0CD8">
        <w:rPr>
          <w:rFonts w:ascii="TH Niramit AS" w:eastAsia="Times New Roman" w:hAnsi="TH Niramit AS" w:cs="TH Niramit AS"/>
          <w:color w:val="000000"/>
          <w:sz w:val="28"/>
        </w:rPr>
        <w:t xml:space="preserve">” </w:t>
      </w:r>
      <w:r w:rsidRPr="000F0CD8">
        <w:rPr>
          <w:rFonts w:ascii="TH Niramit AS" w:eastAsia="Times New Roman" w:hAnsi="TH Niramit AS" w:cs="TH Niramit AS"/>
          <w:color w:val="000000"/>
          <w:sz w:val="28"/>
          <w:cs/>
        </w:rPr>
        <w:t>ไว้เป็นที่โต้ลัทธิ พระพุทธเจ้าทรงไปโต้ลัทธิในที่ประชุมของปริพาชก ๓</w:t>
      </w:r>
      <w:r w:rsidRPr="000F0CD8">
        <w:rPr>
          <w:rFonts w:ascii="TH Niramit AS" w:eastAsia="Times New Roman" w:hAnsi="TH Niramit AS" w:cs="TH Niramit AS"/>
          <w:color w:val="000000"/>
          <w:sz w:val="28"/>
        </w:rPr>
        <w:t>,</w:t>
      </w:r>
      <w:r w:rsidRPr="000F0CD8">
        <w:rPr>
          <w:rFonts w:ascii="TH Niramit AS" w:eastAsia="Times New Roman" w:hAnsi="TH Niramit AS" w:cs="TH Niramit AS"/>
          <w:color w:val="000000"/>
          <w:sz w:val="28"/>
          <w:cs/>
        </w:rPr>
        <w:t xml:space="preserve">๐๐๐ คน แสดงให้เห็นว่าศาลาหลังนี้ใหญ่โตพอสมควร </w:t>
      </w:r>
    </w:p>
    <w:p w:rsidR="001E23E2" w:rsidRPr="000F0CD8" w:rsidRDefault="001E23E2" w:rsidP="00B3392F">
      <w:pPr>
        <w:pStyle w:val="FootnoteText"/>
        <w:rPr>
          <w:rFonts w:ascii="TH Niramit AS" w:hAnsi="TH Niramit AS" w:cs="TH Niramit AS"/>
          <w:sz w:val="28"/>
          <w:szCs w:val="28"/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109714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 w:val="0"/>
        <w:bCs w:val="0"/>
        <w:noProof/>
        <w:szCs w:val="32"/>
      </w:rPr>
    </w:sdtEndPr>
    <w:sdtContent>
      <w:p w:rsidR="002F13CD" w:rsidRPr="002F13CD" w:rsidRDefault="002F13CD">
        <w:pPr>
          <w:pStyle w:val="Header"/>
          <w:jc w:val="right"/>
          <w:rPr>
            <w:rFonts w:ascii="TH SarabunPSK" w:hAnsi="TH SarabunPSK" w:cs="TH SarabunPSK"/>
            <w:b w:val="0"/>
            <w:bCs w:val="0"/>
            <w:szCs w:val="32"/>
          </w:rPr>
        </w:pPr>
        <w:r w:rsidRPr="002F13CD">
          <w:rPr>
            <w:rFonts w:ascii="TH SarabunPSK" w:hAnsi="TH SarabunPSK" w:cs="TH SarabunPSK"/>
            <w:b w:val="0"/>
            <w:bCs w:val="0"/>
            <w:szCs w:val="32"/>
          </w:rPr>
          <w:fldChar w:fldCharType="begin"/>
        </w:r>
        <w:r w:rsidRPr="002F13CD">
          <w:rPr>
            <w:rFonts w:ascii="TH SarabunPSK" w:hAnsi="TH SarabunPSK" w:cs="TH SarabunPSK"/>
            <w:b w:val="0"/>
            <w:bCs w:val="0"/>
            <w:szCs w:val="32"/>
          </w:rPr>
          <w:instrText xml:space="preserve"> PAGE   \* MERGEFORMAT </w:instrText>
        </w:r>
        <w:r w:rsidRPr="002F13CD">
          <w:rPr>
            <w:rFonts w:ascii="TH SarabunPSK" w:hAnsi="TH SarabunPSK" w:cs="TH SarabunPSK"/>
            <w:b w:val="0"/>
            <w:bCs w:val="0"/>
            <w:szCs w:val="32"/>
          </w:rPr>
          <w:fldChar w:fldCharType="separate"/>
        </w:r>
        <w:r w:rsidR="00101774">
          <w:rPr>
            <w:rFonts w:ascii="TH SarabunPSK" w:hAnsi="TH SarabunPSK" w:cs="TH SarabunPSK"/>
            <w:b w:val="0"/>
            <w:bCs w:val="0"/>
            <w:noProof/>
            <w:szCs w:val="32"/>
            <w:cs/>
          </w:rPr>
          <w:t>๙๗</w:t>
        </w:r>
        <w:r w:rsidRPr="002F13CD">
          <w:rPr>
            <w:rFonts w:ascii="TH SarabunPSK" w:hAnsi="TH SarabunPSK" w:cs="TH SarabunPSK"/>
            <w:b w:val="0"/>
            <w:bCs w:val="0"/>
            <w:noProof/>
            <w:szCs w:val="32"/>
          </w:rPr>
          <w:fldChar w:fldCharType="end"/>
        </w:r>
      </w:p>
    </w:sdtContent>
  </w:sdt>
  <w:p w:rsidR="002F13CD" w:rsidRDefault="002F13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22FD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0F0CD8"/>
    <w:rsid w:val="00101774"/>
    <w:rsid w:val="0010228E"/>
    <w:rsid w:val="0010346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5E6C"/>
    <w:rsid w:val="00195F52"/>
    <w:rsid w:val="00197C54"/>
    <w:rsid w:val="001A0C5F"/>
    <w:rsid w:val="001A6691"/>
    <w:rsid w:val="001A79F7"/>
    <w:rsid w:val="001B0F03"/>
    <w:rsid w:val="001B4472"/>
    <w:rsid w:val="001D14F0"/>
    <w:rsid w:val="001D4C4D"/>
    <w:rsid w:val="001E23E2"/>
    <w:rsid w:val="001E78FF"/>
    <w:rsid w:val="001F0EA6"/>
    <w:rsid w:val="001F3957"/>
    <w:rsid w:val="001F6A27"/>
    <w:rsid w:val="00202BAE"/>
    <w:rsid w:val="00212AF5"/>
    <w:rsid w:val="0021694E"/>
    <w:rsid w:val="002365CE"/>
    <w:rsid w:val="00236CC3"/>
    <w:rsid w:val="00237829"/>
    <w:rsid w:val="002571E2"/>
    <w:rsid w:val="00257FC1"/>
    <w:rsid w:val="00266654"/>
    <w:rsid w:val="00273D97"/>
    <w:rsid w:val="00280A3D"/>
    <w:rsid w:val="00281144"/>
    <w:rsid w:val="00281317"/>
    <w:rsid w:val="002875A1"/>
    <w:rsid w:val="0029004D"/>
    <w:rsid w:val="0029244B"/>
    <w:rsid w:val="00292E8A"/>
    <w:rsid w:val="002952D8"/>
    <w:rsid w:val="002A26FB"/>
    <w:rsid w:val="002B3038"/>
    <w:rsid w:val="002B7019"/>
    <w:rsid w:val="002B7A82"/>
    <w:rsid w:val="002C1791"/>
    <w:rsid w:val="002C2A53"/>
    <w:rsid w:val="002C51C5"/>
    <w:rsid w:val="002D4E9B"/>
    <w:rsid w:val="002D794C"/>
    <w:rsid w:val="002F13CD"/>
    <w:rsid w:val="002F1E76"/>
    <w:rsid w:val="002F29D2"/>
    <w:rsid w:val="002F606E"/>
    <w:rsid w:val="002F7135"/>
    <w:rsid w:val="00300569"/>
    <w:rsid w:val="003116C7"/>
    <w:rsid w:val="00321EBD"/>
    <w:rsid w:val="00327314"/>
    <w:rsid w:val="003352E6"/>
    <w:rsid w:val="00337787"/>
    <w:rsid w:val="00346D55"/>
    <w:rsid w:val="003501CA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B15B9"/>
    <w:rsid w:val="003B30EB"/>
    <w:rsid w:val="003B4486"/>
    <w:rsid w:val="003D36DB"/>
    <w:rsid w:val="003F5CA4"/>
    <w:rsid w:val="003F71CB"/>
    <w:rsid w:val="00414C77"/>
    <w:rsid w:val="00417B51"/>
    <w:rsid w:val="00424238"/>
    <w:rsid w:val="004271D4"/>
    <w:rsid w:val="0043460D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5887"/>
    <w:rsid w:val="004B2ACC"/>
    <w:rsid w:val="004C7F4F"/>
    <w:rsid w:val="004D52E9"/>
    <w:rsid w:val="004E16D3"/>
    <w:rsid w:val="004E21A8"/>
    <w:rsid w:val="004F518D"/>
    <w:rsid w:val="00522DB4"/>
    <w:rsid w:val="0052529F"/>
    <w:rsid w:val="00541007"/>
    <w:rsid w:val="005523AC"/>
    <w:rsid w:val="00554F82"/>
    <w:rsid w:val="005602B4"/>
    <w:rsid w:val="005624B0"/>
    <w:rsid w:val="00573A46"/>
    <w:rsid w:val="00574011"/>
    <w:rsid w:val="00575876"/>
    <w:rsid w:val="00581123"/>
    <w:rsid w:val="0058173A"/>
    <w:rsid w:val="00582C8D"/>
    <w:rsid w:val="00591B72"/>
    <w:rsid w:val="005A0D04"/>
    <w:rsid w:val="005B3854"/>
    <w:rsid w:val="005C206B"/>
    <w:rsid w:val="005C5EE9"/>
    <w:rsid w:val="005E1270"/>
    <w:rsid w:val="005F786F"/>
    <w:rsid w:val="00601CDB"/>
    <w:rsid w:val="006029B4"/>
    <w:rsid w:val="00604F5B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D269E"/>
    <w:rsid w:val="006E5BC3"/>
    <w:rsid w:val="006E7BBA"/>
    <w:rsid w:val="006F551D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41807"/>
    <w:rsid w:val="007435DB"/>
    <w:rsid w:val="00750C0C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6E9D"/>
    <w:rsid w:val="007D15B5"/>
    <w:rsid w:val="007D2C8C"/>
    <w:rsid w:val="007E2602"/>
    <w:rsid w:val="007E2924"/>
    <w:rsid w:val="007E6147"/>
    <w:rsid w:val="00804A42"/>
    <w:rsid w:val="0080585B"/>
    <w:rsid w:val="00812CD8"/>
    <w:rsid w:val="00823261"/>
    <w:rsid w:val="008274BC"/>
    <w:rsid w:val="00834DD5"/>
    <w:rsid w:val="0084150C"/>
    <w:rsid w:val="00852162"/>
    <w:rsid w:val="00852A87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7C37"/>
    <w:rsid w:val="008D5DB5"/>
    <w:rsid w:val="008E2695"/>
    <w:rsid w:val="008E5A72"/>
    <w:rsid w:val="008F1CC0"/>
    <w:rsid w:val="00912A18"/>
    <w:rsid w:val="00916787"/>
    <w:rsid w:val="00927208"/>
    <w:rsid w:val="009276C9"/>
    <w:rsid w:val="00930353"/>
    <w:rsid w:val="00932D9D"/>
    <w:rsid w:val="0093671E"/>
    <w:rsid w:val="009407D7"/>
    <w:rsid w:val="0094175D"/>
    <w:rsid w:val="00942C20"/>
    <w:rsid w:val="00954FC9"/>
    <w:rsid w:val="00960657"/>
    <w:rsid w:val="00961FE9"/>
    <w:rsid w:val="0096603F"/>
    <w:rsid w:val="009700B2"/>
    <w:rsid w:val="009712A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757C"/>
    <w:rsid w:val="009F42B0"/>
    <w:rsid w:val="009F50BA"/>
    <w:rsid w:val="00A27232"/>
    <w:rsid w:val="00A311E7"/>
    <w:rsid w:val="00A31FD9"/>
    <w:rsid w:val="00A46B2B"/>
    <w:rsid w:val="00A51ADC"/>
    <w:rsid w:val="00A73ACE"/>
    <w:rsid w:val="00A7495E"/>
    <w:rsid w:val="00A75D0D"/>
    <w:rsid w:val="00A86AE1"/>
    <w:rsid w:val="00A8708E"/>
    <w:rsid w:val="00A91CD3"/>
    <w:rsid w:val="00AA0B6C"/>
    <w:rsid w:val="00AA1C47"/>
    <w:rsid w:val="00AB086A"/>
    <w:rsid w:val="00AB154F"/>
    <w:rsid w:val="00AC3F0B"/>
    <w:rsid w:val="00AC5C56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7363E"/>
    <w:rsid w:val="00B95D57"/>
    <w:rsid w:val="00BA6963"/>
    <w:rsid w:val="00BA6E04"/>
    <w:rsid w:val="00BB09A7"/>
    <w:rsid w:val="00BB699B"/>
    <w:rsid w:val="00BB6DB0"/>
    <w:rsid w:val="00BC6E50"/>
    <w:rsid w:val="00BE3A07"/>
    <w:rsid w:val="00BE60C8"/>
    <w:rsid w:val="00BF4FBF"/>
    <w:rsid w:val="00BF54C0"/>
    <w:rsid w:val="00C06813"/>
    <w:rsid w:val="00C15AF4"/>
    <w:rsid w:val="00C27D7C"/>
    <w:rsid w:val="00C30AB4"/>
    <w:rsid w:val="00C40021"/>
    <w:rsid w:val="00C40B44"/>
    <w:rsid w:val="00C52DAC"/>
    <w:rsid w:val="00C54ACF"/>
    <w:rsid w:val="00C627E6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C30F7"/>
    <w:rsid w:val="00CD3678"/>
    <w:rsid w:val="00CF107C"/>
    <w:rsid w:val="00CF11BE"/>
    <w:rsid w:val="00CF2283"/>
    <w:rsid w:val="00CF6939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3F6F"/>
    <w:rsid w:val="00DC6713"/>
    <w:rsid w:val="00DE4430"/>
    <w:rsid w:val="00DE5CC4"/>
    <w:rsid w:val="00E02755"/>
    <w:rsid w:val="00E1027F"/>
    <w:rsid w:val="00E10FD1"/>
    <w:rsid w:val="00E159D5"/>
    <w:rsid w:val="00E17A66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B1C68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209B1"/>
    <w:rsid w:val="00F24162"/>
    <w:rsid w:val="00F410E3"/>
    <w:rsid w:val="00F43689"/>
    <w:rsid w:val="00F43912"/>
    <w:rsid w:val="00F52B0C"/>
    <w:rsid w:val="00F54E9B"/>
    <w:rsid w:val="00F61756"/>
    <w:rsid w:val="00F713CB"/>
    <w:rsid w:val="00F738E4"/>
    <w:rsid w:val="00F80827"/>
    <w:rsid w:val="00F81071"/>
    <w:rsid w:val="00F86943"/>
    <w:rsid w:val="00F900BE"/>
    <w:rsid w:val="00F945D8"/>
    <w:rsid w:val="00FA3A66"/>
    <w:rsid w:val="00FA5671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1F4DAE-0FEF-4C85-AB9E-D4E7074B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uiPriority w:val="99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2F1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1195-4063-495E-8815-322F870D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16</cp:revision>
  <dcterms:created xsi:type="dcterms:W3CDTF">2013-01-03T11:33:00Z</dcterms:created>
  <dcterms:modified xsi:type="dcterms:W3CDTF">2015-06-22T15:26:00Z</dcterms:modified>
</cp:coreProperties>
</file>